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9D4375B">
      <w:pPr>
        <w:pStyle w:val="71"/>
        <w:spacing w:line="360" w:lineRule="auto"/>
        <w:ind w:right="-285" w:firstLine="142"/>
        <w:jc w:val="center"/>
        <w:rPr>
          <w:rFonts w:ascii="Times New Roman" w:hAnsi="Times New Roman" w:cs="Times New Roman"/>
          <w:b/>
          <w:sz w:val="24"/>
          <w:szCs w:val="24"/>
        </w:rPr>
      </w:pPr>
      <w:r>
        <w:rPr>
          <w:rFonts w:ascii="Times New Roman" w:hAnsi="Times New Roman" w:cs="Times New Roman"/>
          <w:b/>
          <w:sz w:val="24"/>
          <w:szCs w:val="24"/>
        </w:rPr>
        <w:t xml:space="preserve"> EDITAL DE PREGÃO ELETRÔNICO (AQUISIÇÃO DE ITENS) </w:t>
      </w:r>
    </w:p>
    <w:p w14:paraId="5D5C98DD">
      <w:pPr>
        <w:pStyle w:val="71"/>
        <w:spacing w:line="360" w:lineRule="auto"/>
        <w:ind w:right="-285" w:firstLine="142"/>
        <w:jc w:val="center"/>
        <w:rPr>
          <w:rFonts w:ascii="Times New Roman" w:hAnsi="Times New Roman" w:cs="Times New Roman"/>
          <w:b/>
          <w:sz w:val="24"/>
          <w:szCs w:val="24"/>
        </w:rPr>
      </w:pPr>
      <w:r>
        <w:rPr>
          <w:rFonts w:ascii="Times New Roman" w:hAnsi="Times New Roman" w:cs="Times New Roman"/>
          <w:b/>
          <w:sz w:val="24"/>
          <w:szCs w:val="24"/>
        </w:rPr>
        <w:t>PREGÃO ELETRÔNICO PE – Nº 900</w:t>
      </w:r>
      <w:r>
        <w:rPr>
          <w:rFonts w:hint="default" w:ascii="Times New Roman" w:hAnsi="Times New Roman" w:cs="Times New Roman"/>
          <w:b/>
          <w:sz w:val="24"/>
          <w:szCs w:val="24"/>
          <w:lang w:val="pt-BR"/>
        </w:rPr>
        <w:t>36</w:t>
      </w:r>
      <w:r>
        <w:rPr>
          <w:rFonts w:ascii="Times New Roman" w:hAnsi="Times New Roman" w:cs="Times New Roman"/>
          <w:b/>
          <w:sz w:val="24"/>
          <w:szCs w:val="24"/>
        </w:rPr>
        <w:t xml:space="preserve">/2026 – </w:t>
      </w:r>
      <w:r>
        <w:rPr>
          <w:rFonts w:ascii="Times New Roman" w:hAnsi="Times New Roman" w:cs="Times New Roman"/>
          <w:b/>
          <w:sz w:val="24"/>
          <w:szCs w:val="24"/>
          <w:highlight w:val="yellow"/>
        </w:rPr>
        <w:t>Registro de Preços</w:t>
      </w:r>
    </w:p>
    <w:p w14:paraId="44614B66">
      <w:pPr>
        <w:spacing w:line="288" w:lineRule="auto"/>
        <w:contextualSpacing/>
        <w:jc w:val="both"/>
        <w:rPr>
          <w:color w:val="405CA1"/>
          <w:sz w:val="24"/>
          <w:szCs w:val="24"/>
        </w:rPr>
      </w:pPr>
      <w:r>
        <w:rPr>
          <w:sz w:val="24"/>
          <w:szCs w:val="24"/>
        </w:rPr>
        <w:t xml:space="preserve">                                              </w:t>
      </w:r>
    </w:p>
    <w:p w14:paraId="63965E38">
      <w:pPr>
        <w:spacing w:line="288" w:lineRule="auto"/>
        <w:contextualSpacing/>
        <w:jc w:val="both"/>
        <w:rPr>
          <w:b/>
          <w:bCs/>
          <w:color w:val="405CA1"/>
          <w:sz w:val="24"/>
          <w:szCs w:val="24"/>
        </w:rPr>
      </w:pPr>
    </w:p>
    <w:p w14:paraId="1AA98634">
      <w:pPr>
        <w:spacing w:line="288" w:lineRule="auto"/>
        <w:contextualSpacing/>
        <w:jc w:val="both"/>
        <w:rPr>
          <w:b/>
          <w:bCs/>
          <w:color w:val="558ED5" w:themeColor="text2" w:themeTint="99"/>
          <w:sz w:val="24"/>
          <w:szCs w:val="24"/>
          <w14:textFill>
            <w14:solidFill>
              <w14:schemeClr w14:val="tx2">
                <w14:lumMod w14:val="60000"/>
                <w14:lumOff w14:val="40000"/>
              </w14:schemeClr>
            </w14:solidFill>
          </w14:textFill>
        </w:rPr>
      </w:pPr>
      <w:r>
        <w:rPr>
          <w:b/>
          <w:bCs/>
          <w:color w:val="558ED5" w:themeColor="text2" w:themeTint="99"/>
          <w:sz w:val="24"/>
          <w:szCs w:val="24"/>
          <w14:textFill>
            <w14:solidFill>
              <w14:schemeClr w14:val="tx2">
                <w14:lumMod w14:val="60000"/>
                <w14:lumOff w14:val="40000"/>
              </w14:schemeClr>
            </w14:solidFill>
          </w14:textFill>
        </w:rPr>
        <w:t>ÓRGÃO/ENTIDADE GERENCIADORA - Unidade Gestora – UG: 985921(PMV)</w:t>
      </w:r>
    </w:p>
    <w:p w14:paraId="748E3607">
      <w:pPr>
        <w:spacing w:line="288" w:lineRule="auto"/>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MUNICÍPIO DE VALENÇA RJ, PELA SECRETARIA MUNICIPAL DE ASSISTÊNCIA, ESPORTE E ENVELHECIMENTO SAUDÁVEL</w:t>
      </w:r>
    </w:p>
    <w:p w14:paraId="0EBBB324">
      <w:pPr>
        <w:spacing w:line="288" w:lineRule="auto"/>
        <w:contextualSpacing/>
        <w:jc w:val="both"/>
        <w:rPr>
          <w:color w:val="000000" w:themeColor="text1"/>
          <w:sz w:val="24"/>
          <w:szCs w:val="24"/>
          <w14:textFill>
            <w14:solidFill>
              <w14:schemeClr w14:val="tx1"/>
            </w14:solidFill>
          </w14:textFill>
        </w:rPr>
      </w:pPr>
    </w:p>
    <w:p w14:paraId="51D424A6">
      <w:pPr>
        <w:spacing w:line="288" w:lineRule="auto"/>
        <w:contextualSpacing/>
        <w:jc w:val="both"/>
        <w:rPr>
          <w:b/>
          <w:bCs/>
          <w:color w:val="558ED5" w:themeColor="text2" w:themeTint="99"/>
          <w:sz w:val="24"/>
          <w:szCs w:val="24"/>
          <w14:textFill>
            <w14:solidFill>
              <w14:schemeClr w14:val="tx2">
                <w14:lumMod w14:val="60000"/>
                <w14:lumOff w14:val="40000"/>
              </w14:schemeClr>
            </w14:solidFill>
          </w14:textFill>
        </w:rPr>
      </w:pPr>
      <w:r>
        <w:rPr>
          <w:b/>
          <w:bCs/>
          <w:color w:val="558ED5" w:themeColor="text2" w:themeTint="99"/>
          <w:sz w:val="24"/>
          <w:szCs w:val="24"/>
          <w14:textFill>
            <w14:solidFill>
              <w14:schemeClr w14:val="tx2">
                <w14:lumMod w14:val="60000"/>
                <w14:lumOff w14:val="40000"/>
              </w14:schemeClr>
            </w14:solidFill>
          </w14:textFill>
        </w:rPr>
        <w:t>OBJETO</w:t>
      </w:r>
    </w:p>
    <w:p w14:paraId="478EE35E">
      <w:pPr>
        <w:pStyle w:val="77"/>
        <w:spacing w:line="36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Aquisição de veículo de 7 (sete) lugares, tipo SUV, conforme condições e especificações contidas no Termo de Referência.</w:t>
      </w:r>
    </w:p>
    <w:p w14:paraId="069B8357">
      <w:pPr>
        <w:pStyle w:val="77"/>
        <w:spacing w:line="360" w:lineRule="auto"/>
        <w:jc w:val="both"/>
        <w:rPr>
          <w:rFonts w:ascii="Times New Roman" w:hAnsi="Times New Roman" w:cs="Times New Roman"/>
          <w:sz w:val="24"/>
          <w:szCs w:val="24"/>
        </w:rPr>
      </w:pPr>
    </w:p>
    <w:p w14:paraId="3248172A">
      <w:pPr>
        <w:spacing w:line="288" w:lineRule="auto"/>
        <w:contextualSpacing/>
        <w:jc w:val="both"/>
        <w:rPr>
          <w:b/>
          <w:bCs/>
          <w:color w:val="558ED5" w:themeColor="text2" w:themeTint="99"/>
          <w:sz w:val="24"/>
          <w:szCs w:val="24"/>
          <w14:textFill>
            <w14:solidFill>
              <w14:schemeClr w14:val="tx2">
                <w14:lumMod w14:val="60000"/>
                <w14:lumOff w14:val="40000"/>
              </w14:schemeClr>
            </w14:solidFill>
          </w14:textFill>
        </w:rPr>
      </w:pPr>
      <w:r>
        <w:rPr>
          <w:b/>
          <w:bCs/>
          <w:color w:val="558ED5" w:themeColor="text2" w:themeTint="99"/>
          <w:sz w:val="24"/>
          <w:szCs w:val="24"/>
          <w14:textFill>
            <w14:solidFill>
              <w14:schemeClr w14:val="tx2">
                <w14:lumMod w14:val="60000"/>
                <w14:lumOff w14:val="40000"/>
              </w14:schemeClr>
            </w14:solidFill>
          </w14:textFill>
        </w:rPr>
        <w:t>VALOR TOTAL ESTIMADO DA CONTRATAÇÃO</w:t>
      </w:r>
    </w:p>
    <w:p w14:paraId="12AD68B9">
      <w:pPr>
        <w:rPr>
          <w:color w:val="000000" w:themeColor="text1"/>
          <w:sz w:val="24"/>
          <w:szCs w:val="24"/>
          <w14:textFill>
            <w14:solidFill>
              <w14:schemeClr w14:val="tx1"/>
            </w14:solidFill>
          </w14:textFill>
        </w:rPr>
      </w:pPr>
    </w:p>
    <w:p w14:paraId="2197391B">
      <w:pPr>
        <w:spacing w:line="288" w:lineRule="auto"/>
        <w:contextualSpacing/>
        <w:jc w:val="both"/>
        <w:rPr>
          <w:color w:val="000000" w:themeColor="text1"/>
          <w:sz w:val="24"/>
          <w:szCs w:val="24"/>
          <w14:textFill>
            <w14:solidFill>
              <w14:schemeClr w14:val="tx1"/>
            </w14:solidFill>
          </w14:textFill>
        </w:rPr>
      </w:pPr>
      <w:r>
        <w:rPr>
          <w:b/>
          <w:bCs/>
          <w:color w:val="000000" w:themeColor="text1"/>
          <w:sz w:val="24"/>
          <w:szCs w:val="24"/>
          <w14:textFill>
            <w14:solidFill>
              <w14:schemeClr w14:val="tx1"/>
            </w14:solidFill>
          </w14:textFill>
        </w:rPr>
        <w:t xml:space="preserve">R$ </w:t>
      </w:r>
      <w:r>
        <w:rPr>
          <w:rFonts w:eastAsia="SimSun"/>
          <w:b/>
          <w:color w:val="000000"/>
          <w:sz w:val="24"/>
          <w:szCs w:val="24"/>
          <w:lang w:eastAsia="zh-CN" w:bidi="ar"/>
        </w:rPr>
        <w:t>172.223,53</w:t>
      </w:r>
      <w:r>
        <w:rPr>
          <w:b/>
          <w:bCs/>
          <w:color w:val="000000" w:themeColor="text1"/>
          <w:sz w:val="24"/>
          <w:szCs w:val="24"/>
          <w14:textFill>
            <w14:solidFill>
              <w14:schemeClr w14:val="tx1"/>
            </w14:solidFill>
          </w14:textFill>
        </w:rPr>
        <w:t xml:space="preserve"> (cento e setenta e dois mil, duzentos e vinte e três reais e cinquenta e três centavos).</w:t>
      </w:r>
    </w:p>
    <w:p w14:paraId="4176879E">
      <w:pPr>
        <w:spacing w:line="288" w:lineRule="auto"/>
        <w:contextualSpacing/>
        <w:jc w:val="both"/>
        <w:rPr>
          <w:color w:val="000000" w:themeColor="text1"/>
          <w:sz w:val="24"/>
          <w:szCs w:val="24"/>
          <w14:textFill>
            <w14:solidFill>
              <w14:schemeClr w14:val="tx1"/>
            </w14:solidFill>
          </w14:textFill>
        </w:rPr>
      </w:pPr>
    </w:p>
    <w:p w14:paraId="7B3D84D2">
      <w:pPr>
        <w:spacing w:line="288" w:lineRule="auto"/>
        <w:contextualSpacing/>
        <w:jc w:val="both"/>
        <w:rPr>
          <w:b/>
          <w:bCs/>
          <w:color w:val="558ED5" w:themeColor="text2" w:themeTint="99"/>
          <w:sz w:val="24"/>
          <w:szCs w:val="24"/>
          <w14:textFill>
            <w14:solidFill>
              <w14:schemeClr w14:val="tx2">
                <w14:lumMod w14:val="60000"/>
                <w14:lumOff w14:val="40000"/>
              </w14:schemeClr>
            </w14:solidFill>
          </w14:textFill>
        </w:rPr>
      </w:pPr>
      <w:r>
        <w:rPr>
          <w:b/>
          <w:bCs/>
          <w:color w:val="558ED5" w:themeColor="text2" w:themeTint="99"/>
          <w:sz w:val="24"/>
          <w:szCs w:val="24"/>
          <w14:textFill>
            <w14:solidFill>
              <w14:schemeClr w14:val="tx2">
                <w14:lumMod w14:val="60000"/>
                <w14:lumOff w14:val="40000"/>
              </w14:schemeClr>
            </w14:solidFill>
          </w14:textFill>
        </w:rPr>
        <w:t>DATA DA SESSÃO PÚBLICA</w:t>
      </w:r>
    </w:p>
    <w:p w14:paraId="021D76FC">
      <w:pPr>
        <w:spacing w:line="288" w:lineRule="auto"/>
        <w:contextualSpacing/>
        <w:jc w:val="both"/>
        <w:rPr>
          <w:b/>
          <w:bCs/>
          <w:color w:val="000000" w:themeColor="text1"/>
          <w:sz w:val="24"/>
          <w:szCs w:val="24"/>
          <w14:textFill>
            <w14:solidFill>
              <w14:schemeClr w14:val="tx1"/>
            </w14:solidFill>
          </w14:textFill>
        </w:rPr>
      </w:pPr>
    </w:p>
    <w:p w14:paraId="3F6A5D6A">
      <w:pPr>
        <w:spacing w:line="288" w:lineRule="auto"/>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xml:space="preserve">Dia </w:t>
      </w:r>
      <w:r>
        <w:rPr>
          <w:rFonts w:hint="default"/>
          <w:color w:val="000000" w:themeColor="text1"/>
          <w:sz w:val="24"/>
          <w:szCs w:val="24"/>
          <w:lang w:val="pt-BR"/>
          <w14:textFill>
            <w14:solidFill>
              <w14:schemeClr w14:val="tx1"/>
            </w14:solidFill>
          </w14:textFill>
        </w:rPr>
        <w:t>11</w:t>
      </w:r>
      <w:r>
        <w:rPr>
          <w:color w:val="000000" w:themeColor="text1"/>
          <w:sz w:val="24"/>
          <w:szCs w:val="24"/>
          <w14:textFill>
            <w14:solidFill>
              <w14:schemeClr w14:val="tx1"/>
            </w14:solidFill>
          </w14:textFill>
        </w:rPr>
        <w:t>/</w:t>
      </w:r>
      <w:r>
        <w:rPr>
          <w:rFonts w:hint="default"/>
          <w:color w:val="000000" w:themeColor="text1"/>
          <w:sz w:val="24"/>
          <w:szCs w:val="24"/>
          <w:lang w:val="pt-BR"/>
          <w14:textFill>
            <w14:solidFill>
              <w14:schemeClr w14:val="tx1"/>
            </w14:solidFill>
          </w14:textFill>
        </w:rPr>
        <w:t>06</w:t>
      </w:r>
      <w:r>
        <w:rPr>
          <w:color w:val="000000" w:themeColor="text1"/>
          <w:sz w:val="24"/>
          <w:szCs w:val="24"/>
          <w14:textFill>
            <w14:solidFill>
              <w14:schemeClr w14:val="tx1"/>
            </w14:solidFill>
          </w14:textFill>
        </w:rPr>
        <w:t xml:space="preserve">/2026 às </w:t>
      </w:r>
      <w:r>
        <w:rPr>
          <w:rFonts w:hint="default"/>
          <w:color w:val="000000" w:themeColor="text1"/>
          <w:sz w:val="24"/>
          <w:szCs w:val="24"/>
          <w:lang w:val="pt-BR"/>
          <w14:textFill>
            <w14:solidFill>
              <w14:schemeClr w14:val="tx1"/>
            </w14:solidFill>
          </w14:textFill>
        </w:rPr>
        <w:t>10</w:t>
      </w:r>
      <w:r>
        <w:rPr>
          <w:color w:val="000000" w:themeColor="text1"/>
          <w:sz w:val="24"/>
          <w:szCs w:val="24"/>
          <w14:textFill>
            <w14:solidFill>
              <w14:schemeClr w14:val="tx1"/>
            </w14:solidFill>
          </w14:textFill>
        </w:rPr>
        <w:t xml:space="preserve"> (horário de Brasília)</w:t>
      </w:r>
    </w:p>
    <w:p w14:paraId="6E8E8A5E">
      <w:pPr>
        <w:spacing w:line="288" w:lineRule="auto"/>
        <w:contextualSpacing/>
        <w:jc w:val="both"/>
        <w:rPr>
          <w:color w:val="000000" w:themeColor="text1"/>
          <w:sz w:val="24"/>
          <w:szCs w:val="24"/>
          <w14:textFill>
            <w14:solidFill>
              <w14:schemeClr w14:val="tx1"/>
            </w14:solidFill>
          </w14:textFill>
        </w:rPr>
      </w:pPr>
    </w:p>
    <w:p w14:paraId="6D5F2757">
      <w:pPr>
        <w:spacing w:line="288" w:lineRule="auto"/>
        <w:contextualSpacing/>
        <w:jc w:val="both"/>
        <w:rPr>
          <w:caps/>
          <w:color w:val="558ED5" w:themeColor="text2" w:themeTint="99"/>
          <w:sz w:val="24"/>
          <w:szCs w:val="24"/>
          <w14:textFill>
            <w14:solidFill>
              <w14:schemeClr w14:val="tx2">
                <w14:lumMod w14:val="60000"/>
                <w14:lumOff w14:val="40000"/>
              </w14:schemeClr>
            </w14:solidFill>
          </w14:textFill>
        </w:rPr>
      </w:pPr>
      <w:r>
        <w:rPr>
          <w:b/>
          <w:bCs/>
          <w:caps/>
          <w:color w:val="558ED5" w:themeColor="text2" w:themeTint="99"/>
          <w:sz w:val="24"/>
          <w:szCs w:val="24"/>
          <w14:textFill>
            <w14:solidFill>
              <w14:schemeClr w14:val="tx2">
                <w14:lumMod w14:val="60000"/>
                <w14:lumOff w14:val="40000"/>
              </w14:schemeClr>
            </w14:solidFill>
          </w14:textFill>
        </w:rPr>
        <w:t>Critério de Julgamento:</w:t>
      </w:r>
    </w:p>
    <w:p w14:paraId="767523B9">
      <w:pPr>
        <w:spacing w:line="288" w:lineRule="auto"/>
        <w:contextualSpacing/>
        <w:jc w:val="both"/>
        <w:rPr>
          <w:sz w:val="24"/>
          <w:szCs w:val="24"/>
        </w:rPr>
      </w:pPr>
      <w:r>
        <w:rPr>
          <w:sz w:val="24"/>
          <w:szCs w:val="24"/>
        </w:rPr>
        <w:t>MENOR PREÇO POR ITEM</w:t>
      </w:r>
    </w:p>
    <w:p w14:paraId="06E85870">
      <w:pPr>
        <w:spacing w:line="288" w:lineRule="auto"/>
        <w:contextualSpacing/>
        <w:jc w:val="both"/>
        <w:rPr>
          <w:color w:val="000000" w:themeColor="text1"/>
          <w:sz w:val="24"/>
          <w:szCs w:val="24"/>
          <w14:textFill>
            <w14:solidFill>
              <w14:schemeClr w14:val="tx1"/>
            </w14:solidFill>
          </w14:textFill>
        </w:rPr>
      </w:pPr>
    </w:p>
    <w:p w14:paraId="1A956747">
      <w:pPr>
        <w:spacing w:line="288" w:lineRule="auto"/>
        <w:contextualSpacing/>
        <w:jc w:val="both"/>
        <w:rPr>
          <w:caps/>
          <w:color w:val="558ED5" w:themeColor="text2" w:themeTint="99"/>
          <w:sz w:val="24"/>
          <w:szCs w:val="24"/>
          <w14:textFill>
            <w14:solidFill>
              <w14:schemeClr w14:val="tx2">
                <w14:lumMod w14:val="60000"/>
                <w14:lumOff w14:val="40000"/>
              </w14:schemeClr>
            </w14:solidFill>
          </w14:textFill>
        </w:rPr>
      </w:pPr>
      <w:r>
        <w:rPr>
          <w:b/>
          <w:bCs/>
          <w:caps/>
          <w:color w:val="558ED5" w:themeColor="text2" w:themeTint="99"/>
          <w:sz w:val="24"/>
          <w:szCs w:val="24"/>
          <w14:textFill>
            <w14:solidFill>
              <w14:schemeClr w14:val="tx2">
                <w14:lumMod w14:val="60000"/>
                <w14:lumOff w14:val="40000"/>
              </w14:schemeClr>
            </w14:solidFill>
          </w14:textFill>
        </w:rPr>
        <w:t>Modo de disputa:</w:t>
      </w:r>
    </w:p>
    <w:p w14:paraId="70A7D72C">
      <w:pPr>
        <w:spacing w:line="288" w:lineRule="auto"/>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ABERTO</w:t>
      </w:r>
    </w:p>
    <w:p w14:paraId="71F69EA7">
      <w:pPr>
        <w:pStyle w:val="97"/>
        <w:spacing w:before="0" w:beforeAutospacing="0" w:after="0" w:afterAutospacing="0" w:line="288" w:lineRule="auto"/>
        <w:ind w:right="-1"/>
        <w:contextualSpacing/>
        <w:jc w:val="both"/>
        <w:rPr>
          <w:rFonts w:eastAsia="Calibri"/>
          <w:b/>
          <w:bCs/>
          <w:color w:val="000000" w:themeColor="text1"/>
          <w:lang w:eastAsia="en-US"/>
          <w14:textFill>
            <w14:solidFill>
              <w14:schemeClr w14:val="tx1"/>
            </w14:solidFill>
          </w14:textFill>
        </w:rPr>
      </w:pPr>
    </w:p>
    <w:p w14:paraId="1D316D9F">
      <w:pPr>
        <w:spacing w:line="288" w:lineRule="auto"/>
        <w:ind w:firstLine="567"/>
        <w:contextualSpacing/>
        <w:jc w:val="center"/>
        <w:rPr>
          <w:b/>
          <w:i/>
          <w:color w:val="000000" w:themeColor="text1"/>
          <w:sz w:val="24"/>
          <w:szCs w:val="24"/>
          <w14:textFill>
            <w14:solidFill>
              <w14:schemeClr w14:val="tx1"/>
            </w14:solidFill>
          </w14:textFill>
        </w:rPr>
      </w:pPr>
    </w:p>
    <w:p w14:paraId="0C473778">
      <w:pPr>
        <w:spacing w:line="288" w:lineRule="auto"/>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MUNICÍPIO DE VALENÇA RJ, PELA SECRETARIA MUNICIPAL DE ASSISTÊNCIA, ESPORTE E ENVELHECIMENTO SAUDÁVEL.</w:t>
      </w:r>
    </w:p>
    <w:p w14:paraId="2327ADBE">
      <w:pPr>
        <w:spacing w:before="288" w:beforeLines="120" w:after="288" w:afterLines="120" w:line="288" w:lineRule="auto"/>
        <w:ind w:firstLine="567"/>
        <w:contextualSpacing/>
        <w:jc w:val="center"/>
        <w:rPr>
          <w:b/>
          <w:color w:val="000000" w:themeColor="text1"/>
          <w:sz w:val="24"/>
          <w:szCs w:val="24"/>
          <w14:textFill>
            <w14:solidFill>
              <w14:schemeClr w14:val="tx1"/>
            </w14:solidFill>
          </w14:textFill>
        </w:rPr>
      </w:pPr>
    </w:p>
    <w:p w14:paraId="44411FE0">
      <w:pPr>
        <w:spacing w:before="288" w:beforeLines="120" w:after="288" w:afterLines="120" w:line="288" w:lineRule="auto"/>
        <w:contextualSpacing/>
        <w:rPr>
          <w:b/>
          <w:color w:val="000000" w:themeColor="text1"/>
          <w:sz w:val="24"/>
          <w:szCs w:val="24"/>
          <w14:textFill>
            <w14:solidFill>
              <w14:schemeClr w14:val="tx1"/>
            </w14:solidFill>
          </w14:textFill>
        </w:rPr>
      </w:pPr>
      <w:r>
        <w:rPr>
          <w:b/>
          <w:color w:val="000000" w:themeColor="text1"/>
          <w:sz w:val="24"/>
          <w:szCs w:val="24"/>
          <w14:textFill>
            <w14:solidFill>
              <w14:schemeClr w14:val="tx1"/>
            </w14:solidFill>
          </w14:textFill>
        </w:rPr>
        <w:t>PREGÃO ELETRÔNICO Nº 900XX/2026</w:t>
      </w:r>
    </w:p>
    <w:p w14:paraId="1170A3A7">
      <w:pPr>
        <w:spacing w:before="288" w:beforeLines="120" w:after="288" w:afterLines="120" w:line="288" w:lineRule="auto"/>
        <w:ind w:firstLine="567"/>
        <w:contextualSpacing/>
        <w:jc w:val="center"/>
        <w:rPr>
          <w:bCs/>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xml:space="preserve">   </w:t>
      </w:r>
    </w:p>
    <w:p w14:paraId="2942F7E4">
      <w:pPr>
        <w:spacing w:line="288" w:lineRule="auto"/>
        <w:contextualSpacing/>
        <w:jc w:val="both"/>
        <w:rPr>
          <w:rFonts w:asciiTheme="minorHAnsi" w:hAnsiTheme="minorHAnsi" w:cstheme="minorHAnsi"/>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xml:space="preserve">Torna-se público que o </w:t>
      </w:r>
      <w:r>
        <w:rPr>
          <w:iCs/>
          <w:color w:val="000000" w:themeColor="text1"/>
          <w:sz w:val="24"/>
          <w:szCs w:val="24"/>
          <w14:textFill>
            <w14:solidFill>
              <w14:schemeClr w14:val="tx1"/>
            </w14:solidFill>
          </w14:textFill>
        </w:rPr>
        <w:t>MUNICÍPIO DE VALENÇA</w:t>
      </w:r>
      <w:r>
        <w:rPr>
          <w:color w:val="000000" w:themeColor="text1"/>
          <w:sz w:val="24"/>
          <w:szCs w:val="24"/>
          <w14:textFill>
            <w14:solidFill>
              <w14:schemeClr w14:val="tx1"/>
            </w14:solidFill>
          </w14:textFill>
        </w:rPr>
        <w:t>, PELA SECRETARIA MUNICIPAL DE ASSISTÊNCIA, ESPORTE E ENVELHECIMENTO SAUDÁVEL</w:t>
      </w:r>
      <w:r>
        <w:rPr>
          <w:iCs/>
          <w:color w:val="000000" w:themeColor="text1"/>
          <w:sz w:val="24"/>
          <w:szCs w:val="24"/>
          <w14:textFill>
            <w14:solidFill>
              <w14:schemeClr w14:val="tx1"/>
            </w14:solidFill>
          </w14:textFill>
        </w:rPr>
        <w:t xml:space="preserve">, sediada Rua Carneiro de Mendonça, n° 139, Centro, Valença, RJ, </w:t>
      </w:r>
      <w:r>
        <w:rPr>
          <w:color w:val="000000" w:themeColor="text1"/>
          <w:sz w:val="24"/>
          <w:szCs w:val="24"/>
          <w14:textFill>
            <w14:solidFill>
              <w14:schemeClr w14:val="tx1"/>
            </w14:solidFill>
          </w14:textFill>
        </w:rPr>
        <w:t xml:space="preserve"> realizará licitação, na modalidade PREGÃO, na forma ELETRÔNICA, nos termos do processo nº VLC-020514/000122/2025, da </w:t>
      </w:r>
      <w:r>
        <w:fldChar w:fldCharType="begin"/>
      </w:r>
      <w:r>
        <w:instrText xml:space="preserve"> HYPERLINK "http://www.planalto.gov.br/ccivil_03/_ato2019-2022/2021/lei/L14133.htm" </w:instrText>
      </w:r>
      <w:r>
        <w:fldChar w:fldCharType="separate"/>
      </w:r>
      <w:r>
        <w:rPr>
          <w:rStyle w:val="16"/>
          <w:rFonts w:eastAsiaTheme="minorHAnsi"/>
          <w:color w:val="000000" w:themeColor="text1"/>
          <w:sz w:val="24"/>
          <w:szCs w:val="24"/>
          <w14:textFill>
            <w14:solidFill>
              <w14:schemeClr w14:val="tx1"/>
            </w14:solidFill>
          </w14:textFill>
        </w:rPr>
        <w:t>Lei nº 14.133, de 1º de abril de 2021</w:t>
      </w:r>
      <w:r>
        <w:rPr>
          <w:rStyle w:val="16"/>
          <w:rFonts w:eastAsiaTheme="minorHAnsi"/>
          <w:color w:val="000000" w:themeColor="text1"/>
          <w:sz w:val="24"/>
          <w:szCs w:val="24"/>
          <w14:textFill>
            <w14:solidFill>
              <w14:schemeClr w14:val="tx1"/>
            </w14:solidFill>
          </w14:textFill>
        </w:rPr>
        <w:fldChar w:fldCharType="end"/>
      </w:r>
      <w:r>
        <w:rPr>
          <w:color w:val="000000" w:themeColor="text1"/>
          <w:sz w:val="24"/>
          <w:szCs w:val="24"/>
          <w14:textFill>
            <w14:solidFill>
              <w14:schemeClr w14:val="tx1"/>
            </w14:solidFill>
          </w14:textFill>
        </w:rPr>
        <w:t xml:space="preserve">, do Decreto nº 46 de 25 de fevereiro de 2025, </w:t>
      </w:r>
      <w:r>
        <w:rPr>
          <w:rFonts w:eastAsia="Arial"/>
          <w:color w:val="000000" w:themeColor="text1"/>
          <w:sz w:val="24"/>
          <w:szCs w:val="24"/>
          <w14:textFill>
            <w14:solidFill>
              <w14:schemeClr w14:val="tx1"/>
            </w14:solidFill>
          </w14:textFill>
        </w:rPr>
        <w:t xml:space="preserve">e dos demais normativos municipais aplicáveis, todos disponíveis </w:t>
      </w:r>
      <w:r>
        <w:rPr>
          <w:color w:val="000000" w:themeColor="text1"/>
          <w:sz w:val="24"/>
          <w:szCs w:val="24"/>
          <w14:textFill>
            <w14:solidFill>
              <w14:schemeClr w14:val="tx1"/>
            </w14:solidFill>
          </w14:textFill>
        </w:rPr>
        <w:t>no endereço eletrônico www.valenca.rj.gov.br, e, ainda, de acordo com as condições estabelecidas neste Edital.</w:t>
      </w:r>
    </w:p>
    <w:p w14:paraId="092C9E7A">
      <w:pPr>
        <w:pStyle w:val="97"/>
        <w:spacing w:before="0" w:beforeAutospacing="0" w:after="0" w:afterAutospacing="0" w:line="288" w:lineRule="auto"/>
        <w:ind w:right="-1"/>
        <w:contextualSpacing/>
        <w:jc w:val="both"/>
        <w:rPr>
          <w:rFonts w:eastAsia="Calibri" w:asciiTheme="minorHAnsi" w:hAnsiTheme="minorHAnsi" w:cstheme="minorHAnsi"/>
          <w:b/>
          <w:bCs/>
          <w:lang w:eastAsia="en-US"/>
        </w:rPr>
      </w:pPr>
    </w:p>
    <w:p w14:paraId="0FC86E16">
      <w:pPr>
        <w:pStyle w:val="97"/>
        <w:numPr>
          <w:ilvl w:val="0"/>
          <w:numId w:val="5"/>
        </w:numPr>
        <w:spacing w:before="0" w:beforeAutospacing="0" w:after="0" w:afterAutospacing="0" w:line="288" w:lineRule="auto"/>
        <w:ind w:right="-1"/>
        <w:contextualSpacing/>
        <w:jc w:val="both"/>
        <w:rPr>
          <w:rFonts w:eastAsia="Calibri"/>
          <w:b/>
          <w:bCs/>
          <w:lang w:eastAsia="en-US"/>
        </w:rPr>
      </w:pPr>
      <w:r>
        <w:rPr>
          <w:rFonts w:eastAsia="Calibri"/>
          <w:b/>
          <w:bCs/>
          <w:lang w:eastAsia="en-US"/>
        </w:rPr>
        <w:t>OBJETO</w:t>
      </w:r>
    </w:p>
    <w:p w14:paraId="6486E96D">
      <w:pPr>
        <w:pStyle w:val="97"/>
        <w:spacing w:before="0" w:beforeAutospacing="0" w:after="0" w:afterAutospacing="0" w:line="288" w:lineRule="auto"/>
        <w:ind w:right="-1"/>
        <w:contextualSpacing/>
        <w:jc w:val="both"/>
        <w:rPr>
          <w:rFonts w:eastAsia="Calibri"/>
          <w:b/>
          <w:bCs/>
          <w:lang w:eastAsia="en-US"/>
        </w:rPr>
      </w:pPr>
    </w:p>
    <w:p w14:paraId="37C53E88">
      <w:pPr>
        <w:pStyle w:val="77"/>
        <w:spacing w:line="360" w:lineRule="auto"/>
        <w:jc w:val="both"/>
        <w:rPr>
          <w:rFonts w:ascii="Times New Roman" w:hAnsi="Times New Roman" w:cs="Times New Roman"/>
          <w:color w:val="000000"/>
          <w:sz w:val="24"/>
          <w:szCs w:val="24"/>
        </w:rPr>
      </w:pPr>
      <w:r>
        <w:rPr>
          <w:rFonts w:ascii="Times New Roman" w:hAnsi="Times New Roman" w:eastAsia="Cambria Math" w:cs="Times New Roman"/>
          <w:sz w:val="24"/>
          <w:szCs w:val="24"/>
        </w:rPr>
        <w:t xml:space="preserve">1.1 </w:t>
      </w:r>
      <w:r>
        <w:rPr>
          <w:rFonts w:ascii="Times New Roman" w:hAnsi="Times New Roman" w:cs="Times New Roman"/>
          <w:color w:val="000000"/>
          <w:sz w:val="24"/>
          <w:szCs w:val="24"/>
        </w:rPr>
        <w:t>Aquisição de veículo de 7 (sete) lugares, tipo SUV, conforme condições e especificações contidas no Termo de Referência.</w:t>
      </w:r>
    </w:p>
    <w:p w14:paraId="6AFEC966">
      <w:pPr>
        <w:pStyle w:val="99"/>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eastAsia="Calibri" w:cs="Times New Roman"/>
          <w:sz w:val="24"/>
          <w:szCs w:val="24"/>
          <w:lang w:eastAsia="en-US"/>
        </w:rPr>
        <w:t xml:space="preserve">1.2 </w:t>
      </w:r>
      <w:r>
        <w:rPr>
          <w:rFonts w:ascii="Times New Roman" w:hAnsi="Times New Roman" w:cs="Times New Roman"/>
          <w:color w:val="auto"/>
          <w:sz w:val="24"/>
          <w:szCs w:val="24"/>
        </w:rPr>
        <w:t>A licitação será dividida em um único item, conforme tabela abaixo.</w:t>
      </w:r>
    </w:p>
    <w:p w14:paraId="747FDEE7">
      <w:pPr>
        <w:jc w:val="center"/>
        <w:rPr>
          <w:b/>
          <w:sz w:val="24"/>
          <w:szCs w:val="24"/>
        </w:rPr>
      </w:pPr>
    </w:p>
    <w:tbl>
      <w:tblPr>
        <w:tblStyle w:val="37"/>
        <w:tblpPr w:leftFromText="180" w:rightFromText="180" w:vertAnchor="text" w:horzAnchor="page" w:tblpX="621" w:tblpY="495"/>
        <w:tblOverlap w:val="never"/>
        <w:tblW w:w="110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9"/>
        <w:gridCol w:w="1276"/>
        <w:gridCol w:w="1418"/>
        <w:gridCol w:w="3685"/>
        <w:gridCol w:w="1701"/>
        <w:gridCol w:w="1819"/>
      </w:tblGrid>
      <w:tr w14:paraId="5A97DE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129" w:type="dxa"/>
            <w:shd w:val="clear" w:color="auto" w:fill="auto"/>
          </w:tcPr>
          <w:p w14:paraId="689726F9">
            <w:pPr>
              <w:jc w:val="center"/>
              <w:rPr>
                <w:rFonts w:ascii="Times New Roman" w:hAnsi="Times New Roman" w:cs="Times New Roman" w:eastAsiaTheme="minorHAnsi"/>
                <w:b/>
                <w:bCs/>
                <w:sz w:val="24"/>
                <w:szCs w:val="24"/>
                <w:lang w:eastAsia="en-US"/>
              </w:rPr>
            </w:pPr>
            <w:r>
              <w:rPr>
                <w:rFonts w:ascii="Times New Roman" w:hAnsi="Times New Roman" w:cs="Times New Roman" w:eastAsiaTheme="minorHAnsi"/>
                <w:b/>
                <w:bCs/>
                <w:sz w:val="24"/>
                <w:szCs w:val="24"/>
                <w:lang w:eastAsia="en-US"/>
              </w:rPr>
              <w:t>ITEM</w:t>
            </w:r>
          </w:p>
        </w:tc>
        <w:tc>
          <w:tcPr>
            <w:tcW w:w="1276" w:type="dxa"/>
            <w:shd w:val="clear" w:color="auto" w:fill="auto"/>
          </w:tcPr>
          <w:p w14:paraId="09BEFD65">
            <w:pPr>
              <w:jc w:val="center"/>
              <w:rPr>
                <w:rFonts w:ascii="Times New Roman" w:hAnsi="Times New Roman" w:cs="Times New Roman" w:eastAsiaTheme="minorHAnsi"/>
                <w:b/>
                <w:bCs/>
                <w:sz w:val="24"/>
                <w:szCs w:val="24"/>
                <w:lang w:eastAsia="en-US"/>
              </w:rPr>
            </w:pPr>
            <w:r>
              <w:rPr>
                <w:rFonts w:ascii="Times New Roman" w:hAnsi="Times New Roman" w:cs="Times New Roman" w:eastAsiaTheme="minorHAnsi"/>
                <w:b/>
                <w:bCs/>
                <w:sz w:val="24"/>
                <w:szCs w:val="24"/>
                <w:lang w:eastAsia="en-US"/>
              </w:rPr>
              <w:t>QUANT.</w:t>
            </w:r>
          </w:p>
        </w:tc>
        <w:tc>
          <w:tcPr>
            <w:tcW w:w="1418" w:type="dxa"/>
            <w:shd w:val="clear" w:color="auto" w:fill="auto"/>
          </w:tcPr>
          <w:p w14:paraId="7F0BC47C">
            <w:pPr>
              <w:jc w:val="center"/>
              <w:rPr>
                <w:rFonts w:ascii="Times New Roman" w:hAnsi="Times New Roman" w:cs="Times New Roman" w:eastAsiaTheme="minorHAnsi"/>
                <w:b/>
                <w:bCs/>
                <w:sz w:val="24"/>
                <w:szCs w:val="24"/>
                <w:lang w:eastAsia="en-US"/>
              </w:rPr>
            </w:pPr>
            <w:r>
              <w:rPr>
                <w:rFonts w:ascii="Times New Roman" w:hAnsi="Times New Roman" w:cs="Times New Roman" w:eastAsiaTheme="minorHAnsi"/>
                <w:b/>
                <w:bCs/>
                <w:sz w:val="24"/>
                <w:szCs w:val="24"/>
                <w:lang w:eastAsia="en-US"/>
              </w:rPr>
              <w:t>UNIDADE</w:t>
            </w:r>
          </w:p>
        </w:tc>
        <w:tc>
          <w:tcPr>
            <w:tcW w:w="3685" w:type="dxa"/>
            <w:shd w:val="clear" w:color="auto" w:fill="auto"/>
          </w:tcPr>
          <w:p w14:paraId="017DBD1D">
            <w:pPr>
              <w:jc w:val="center"/>
              <w:rPr>
                <w:rFonts w:ascii="Times New Roman" w:hAnsi="Times New Roman" w:eastAsia="Cambria Math" w:cs="Times New Roman"/>
                <w:b/>
                <w:bCs/>
                <w:color w:val="0D0D0D"/>
                <w:sz w:val="24"/>
                <w:szCs w:val="24"/>
                <w:lang w:eastAsia="en-US"/>
              </w:rPr>
            </w:pPr>
            <w:r>
              <w:rPr>
                <w:rFonts w:ascii="Times New Roman" w:hAnsi="Times New Roman" w:eastAsia="Cambria Math" w:cs="Times New Roman"/>
                <w:b/>
                <w:bCs/>
                <w:color w:val="0D0D0D"/>
                <w:sz w:val="24"/>
                <w:szCs w:val="24"/>
                <w:lang w:eastAsia="en-US"/>
              </w:rPr>
              <w:t>ESPECIFICAÇÃO</w:t>
            </w:r>
          </w:p>
        </w:tc>
        <w:tc>
          <w:tcPr>
            <w:tcW w:w="1701" w:type="dxa"/>
          </w:tcPr>
          <w:p w14:paraId="4FCCC2F2">
            <w:pPr>
              <w:jc w:val="center"/>
              <w:rPr>
                <w:rFonts w:ascii="Times New Roman" w:hAnsi="Times New Roman" w:eastAsia="Cambria Math" w:cs="Times New Roman"/>
                <w:b/>
                <w:bCs/>
                <w:color w:val="0D0D0D"/>
                <w:sz w:val="24"/>
                <w:szCs w:val="24"/>
                <w:lang w:eastAsia="en-US"/>
              </w:rPr>
            </w:pPr>
            <w:r>
              <w:rPr>
                <w:rFonts w:ascii="Times New Roman" w:hAnsi="Times New Roman" w:eastAsia="Cambria Math" w:cs="Times New Roman"/>
                <w:b/>
                <w:bCs/>
                <w:color w:val="0D0D0D"/>
                <w:sz w:val="24"/>
                <w:szCs w:val="24"/>
                <w:lang w:eastAsia="en-US"/>
              </w:rPr>
              <w:t>VALOR UNITÁRIO</w:t>
            </w:r>
          </w:p>
        </w:tc>
        <w:tc>
          <w:tcPr>
            <w:tcW w:w="1819" w:type="dxa"/>
          </w:tcPr>
          <w:p w14:paraId="7D5FADB4">
            <w:pPr>
              <w:jc w:val="center"/>
              <w:rPr>
                <w:rFonts w:ascii="Times New Roman" w:hAnsi="Times New Roman" w:eastAsia="Cambria Math" w:cs="Times New Roman"/>
                <w:b/>
                <w:bCs/>
                <w:color w:val="0D0D0D"/>
                <w:sz w:val="24"/>
                <w:szCs w:val="24"/>
                <w:lang w:eastAsia="en-US"/>
              </w:rPr>
            </w:pPr>
            <w:r>
              <w:rPr>
                <w:rFonts w:ascii="Times New Roman" w:hAnsi="Times New Roman" w:eastAsia="Cambria Math" w:cs="Times New Roman"/>
                <w:b/>
                <w:bCs/>
                <w:color w:val="0D0D0D"/>
                <w:sz w:val="24"/>
                <w:szCs w:val="24"/>
                <w:lang w:eastAsia="en-US"/>
              </w:rPr>
              <w:t>VALOR TOTAL</w:t>
            </w:r>
          </w:p>
        </w:tc>
      </w:tr>
      <w:tr w14:paraId="4EFE68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9" w:type="dxa"/>
            <w:shd w:val="clear" w:color="auto" w:fill="auto"/>
          </w:tcPr>
          <w:p w14:paraId="438BF785">
            <w:pPr>
              <w:jc w:val="center"/>
              <w:rPr>
                <w:rFonts w:ascii="Times New Roman" w:hAnsi="Times New Roman" w:eastAsia="SimSun" w:cs="Times New Roman"/>
                <w:kern w:val="3"/>
                <w:sz w:val="24"/>
                <w:szCs w:val="24"/>
                <w:lang w:eastAsia="en-US" w:bidi="hi-IN"/>
              </w:rPr>
            </w:pPr>
          </w:p>
          <w:p w14:paraId="16508F2C">
            <w:pPr>
              <w:jc w:val="center"/>
              <w:rPr>
                <w:rFonts w:ascii="Times New Roman" w:hAnsi="Times New Roman" w:eastAsia="SimSun" w:cs="Times New Roman"/>
                <w:kern w:val="3"/>
                <w:sz w:val="24"/>
                <w:szCs w:val="24"/>
                <w:lang w:eastAsia="en-US" w:bidi="hi-IN"/>
              </w:rPr>
            </w:pPr>
          </w:p>
          <w:p w14:paraId="32A055F7">
            <w:pPr>
              <w:jc w:val="center"/>
              <w:rPr>
                <w:rFonts w:ascii="Times New Roman" w:hAnsi="Times New Roman" w:eastAsia="SimSun" w:cs="Times New Roman"/>
                <w:kern w:val="3"/>
                <w:sz w:val="24"/>
                <w:szCs w:val="24"/>
                <w:lang w:eastAsia="en-US" w:bidi="hi-IN"/>
              </w:rPr>
            </w:pPr>
          </w:p>
          <w:p w14:paraId="59E67FD0">
            <w:pPr>
              <w:jc w:val="center"/>
              <w:rPr>
                <w:rFonts w:ascii="Times New Roman" w:hAnsi="Times New Roman" w:eastAsia="SimSun" w:cs="Times New Roman"/>
                <w:kern w:val="3"/>
                <w:sz w:val="24"/>
                <w:szCs w:val="24"/>
                <w:lang w:eastAsia="en-US" w:bidi="hi-IN"/>
              </w:rPr>
            </w:pPr>
          </w:p>
          <w:p w14:paraId="4F50D372">
            <w:pPr>
              <w:jc w:val="center"/>
              <w:rPr>
                <w:rFonts w:ascii="Times New Roman" w:hAnsi="Times New Roman" w:eastAsia="SimSun" w:cs="Times New Roman"/>
                <w:kern w:val="3"/>
                <w:sz w:val="24"/>
                <w:szCs w:val="24"/>
                <w:lang w:eastAsia="en-US" w:bidi="hi-IN"/>
              </w:rPr>
            </w:pPr>
          </w:p>
          <w:p w14:paraId="05FC4502">
            <w:pPr>
              <w:jc w:val="center"/>
              <w:rPr>
                <w:rFonts w:ascii="Times New Roman" w:hAnsi="Times New Roman" w:eastAsia="SimSun" w:cs="Times New Roman"/>
                <w:kern w:val="3"/>
                <w:sz w:val="24"/>
                <w:szCs w:val="24"/>
                <w:lang w:eastAsia="en-US" w:bidi="hi-IN"/>
              </w:rPr>
            </w:pPr>
          </w:p>
          <w:p w14:paraId="3952AA0B">
            <w:pPr>
              <w:jc w:val="center"/>
              <w:rPr>
                <w:rFonts w:ascii="Times New Roman" w:hAnsi="Times New Roman" w:eastAsia="SimSun" w:cs="Times New Roman"/>
                <w:kern w:val="3"/>
                <w:sz w:val="24"/>
                <w:szCs w:val="24"/>
                <w:lang w:eastAsia="en-US" w:bidi="hi-IN"/>
              </w:rPr>
            </w:pPr>
          </w:p>
          <w:p w14:paraId="197E2A11">
            <w:pPr>
              <w:jc w:val="center"/>
              <w:rPr>
                <w:rFonts w:ascii="Times New Roman" w:hAnsi="Times New Roman" w:eastAsia="SimSun" w:cs="Times New Roman"/>
                <w:kern w:val="3"/>
                <w:sz w:val="24"/>
                <w:szCs w:val="24"/>
                <w:lang w:eastAsia="en-US" w:bidi="hi-IN"/>
              </w:rPr>
            </w:pPr>
          </w:p>
          <w:p w14:paraId="419F1AA3">
            <w:pPr>
              <w:jc w:val="center"/>
              <w:rPr>
                <w:rFonts w:ascii="Times New Roman" w:hAnsi="Times New Roman" w:eastAsia="SimSun" w:cs="Times New Roman"/>
                <w:kern w:val="3"/>
                <w:sz w:val="24"/>
                <w:szCs w:val="24"/>
                <w:lang w:eastAsia="en-US" w:bidi="hi-IN"/>
              </w:rPr>
            </w:pPr>
          </w:p>
          <w:p w14:paraId="472AD1FF">
            <w:pPr>
              <w:rPr>
                <w:rFonts w:ascii="Times New Roman" w:hAnsi="Times New Roman" w:eastAsia="SimSun" w:cs="Times New Roman"/>
                <w:kern w:val="3"/>
                <w:sz w:val="24"/>
                <w:szCs w:val="24"/>
                <w:lang w:eastAsia="en-US" w:bidi="hi-IN"/>
              </w:rPr>
            </w:pPr>
          </w:p>
          <w:p w14:paraId="0F3A2E97">
            <w:pPr>
              <w:jc w:val="center"/>
              <w:rPr>
                <w:rFonts w:ascii="Times New Roman" w:hAnsi="Times New Roman" w:eastAsia="SimSun" w:cs="Times New Roman"/>
                <w:kern w:val="3"/>
                <w:sz w:val="24"/>
                <w:szCs w:val="24"/>
                <w:lang w:eastAsia="en-US" w:bidi="hi-IN"/>
              </w:rPr>
            </w:pPr>
            <w:r>
              <w:rPr>
                <w:rFonts w:ascii="Times New Roman" w:hAnsi="Times New Roman" w:eastAsia="SimSun" w:cs="Times New Roman"/>
                <w:kern w:val="3"/>
                <w:sz w:val="24"/>
                <w:szCs w:val="24"/>
                <w:lang w:eastAsia="en-US" w:bidi="hi-IN"/>
              </w:rPr>
              <w:t>01</w:t>
            </w:r>
          </w:p>
        </w:tc>
        <w:tc>
          <w:tcPr>
            <w:tcW w:w="1276" w:type="dxa"/>
            <w:shd w:val="clear" w:color="auto" w:fill="auto"/>
          </w:tcPr>
          <w:p w14:paraId="300CA6E0">
            <w:pPr>
              <w:jc w:val="center"/>
              <w:rPr>
                <w:rFonts w:ascii="Times New Roman" w:hAnsi="Times New Roman" w:cs="Times New Roman" w:eastAsiaTheme="minorHAnsi"/>
                <w:color w:val="000000"/>
                <w:sz w:val="24"/>
                <w:szCs w:val="24"/>
                <w:lang w:eastAsia="en-US"/>
              </w:rPr>
            </w:pPr>
          </w:p>
          <w:p w14:paraId="7B54BFE8">
            <w:pPr>
              <w:jc w:val="center"/>
              <w:rPr>
                <w:rFonts w:ascii="Times New Roman" w:hAnsi="Times New Roman" w:cs="Times New Roman" w:eastAsiaTheme="minorHAnsi"/>
                <w:color w:val="000000"/>
                <w:sz w:val="24"/>
                <w:szCs w:val="24"/>
                <w:lang w:eastAsia="en-US"/>
              </w:rPr>
            </w:pPr>
          </w:p>
          <w:p w14:paraId="64AB8CB3">
            <w:pPr>
              <w:jc w:val="center"/>
              <w:rPr>
                <w:rFonts w:ascii="Times New Roman" w:hAnsi="Times New Roman" w:cs="Times New Roman" w:eastAsiaTheme="minorHAnsi"/>
                <w:color w:val="000000"/>
                <w:sz w:val="24"/>
                <w:szCs w:val="24"/>
                <w:lang w:eastAsia="en-US"/>
              </w:rPr>
            </w:pPr>
          </w:p>
          <w:p w14:paraId="00B7E578">
            <w:pPr>
              <w:jc w:val="center"/>
              <w:rPr>
                <w:rFonts w:ascii="Times New Roman" w:hAnsi="Times New Roman" w:cs="Times New Roman" w:eastAsiaTheme="minorHAnsi"/>
                <w:color w:val="000000"/>
                <w:sz w:val="24"/>
                <w:szCs w:val="24"/>
                <w:lang w:eastAsia="en-US"/>
              </w:rPr>
            </w:pPr>
          </w:p>
          <w:p w14:paraId="0CEA7BFB">
            <w:pPr>
              <w:jc w:val="center"/>
              <w:rPr>
                <w:rFonts w:ascii="Times New Roman" w:hAnsi="Times New Roman" w:cs="Times New Roman" w:eastAsiaTheme="minorHAnsi"/>
                <w:color w:val="000000"/>
                <w:sz w:val="24"/>
                <w:szCs w:val="24"/>
                <w:lang w:eastAsia="en-US"/>
              </w:rPr>
            </w:pPr>
          </w:p>
          <w:p w14:paraId="3034616A">
            <w:pPr>
              <w:jc w:val="center"/>
              <w:rPr>
                <w:rFonts w:ascii="Times New Roman" w:hAnsi="Times New Roman" w:cs="Times New Roman" w:eastAsiaTheme="minorHAnsi"/>
                <w:color w:val="000000"/>
                <w:sz w:val="24"/>
                <w:szCs w:val="24"/>
                <w:lang w:eastAsia="en-US"/>
              </w:rPr>
            </w:pPr>
          </w:p>
          <w:p w14:paraId="463DA187">
            <w:pPr>
              <w:jc w:val="center"/>
              <w:rPr>
                <w:rFonts w:ascii="Times New Roman" w:hAnsi="Times New Roman" w:cs="Times New Roman" w:eastAsiaTheme="minorHAnsi"/>
                <w:color w:val="000000"/>
                <w:sz w:val="24"/>
                <w:szCs w:val="24"/>
                <w:lang w:eastAsia="en-US"/>
              </w:rPr>
            </w:pPr>
          </w:p>
          <w:p w14:paraId="3491DEFB">
            <w:pPr>
              <w:jc w:val="center"/>
              <w:rPr>
                <w:rFonts w:ascii="Times New Roman" w:hAnsi="Times New Roman" w:cs="Times New Roman" w:eastAsiaTheme="minorHAnsi"/>
                <w:color w:val="000000"/>
                <w:sz w:val="24"/>
                <w:szCs w:val="24"/>
                <w:lang w:eastAsia="en-US"/>
              </w:rPr>
            </w:pPr>
          </w:p>
          <w:p w14:paraId="16D4D8BC">
            <w:pPr>
              <w:rPr>
                <w:rFonts w:ascii="Times New Roman" w:hAnsi="Times New Roman" w:cs="Times New Roman" w:eastAsiaTheme="minorHAnsi"/>
                <w:color w:val="000000"/>
                <w:sz w:val="24"/>
                <w:szCs w:val="24"/>
                <w:lang w:eastAsia="en-US"/>
              </w:rPr>
            </w:pPr>
          </w:p>
          <w:p w14:paraId="7BCB7908">
            <w:pPr>
              <w:jc w:val="center"/>
              <w:rPr>
                <w:rFonts w:ascii="Times New Roman" w:hAnsi="Times New Roman" w:cs="Times New Roman" w:eastAsiaTheme="minorHAnsi"/>
                <w:color w:val="000000"/>
                <w:sz w:val="24"/>
                <w:szCs w:val="24"/>
                <w:lang w:eastAsia="en-US"/>
              </w:rPr>
            </w:pPr>
          </w:p>
          <w:p w14:paraId="461A0F0D">
            <w:pPr>
              <w:jc w:val="center"/>
              <w:rPr>
                <w:rFonts w:ascii="Times New Roman" w:hAnsi="Times New Roman" w:cs="Times New Roman" w:eastAsiaTheme="minorHAnsi"/>
                <w:color w:val="000000"/>
                <w:sz w:val="24"/>
                <w:szCs w:val="24"/>
                <w:lang w:eastAsia="en-US"/>
              </w:rPr>
            </w:pPr>
            <w:r>
              <w:rPr>
                <w:rFonts w:ascii="Times New Roman" w:hAnsi="Times New Roman" w:cs="Times New Roman" w:eastAsiaTheme="minorHAnsi"/>
                <w:color w:val="000000"/>
                <w:sz w:val="24"/>
                <w:szCs w:val="24"/>
                <w:lang w:eastAsia="en-US"/>
              </w:rPr>
              <w:t>01</w:t>
            </w:r>
          </w:p>
        </w:tc>
        <w:tc>
          <w:tcPr>
            <w:tcW w:w="1418" w:type="dxa"/>
            <w:shd w:val="clear" w:color="auto" w:fill="auto"/>
            <w:vAlign w:val="bottom"/>
          </w:tcPr>
          <w:p w14:paraId="70C04867">
            <w:pPr>
              <w:jc w:val="center"/>
              <w:textAlignment w:val="bottom"/>
              <w:rPr>
                <w:rFonts w:ascii="Times New Roman" w:hAnsi="Times New Roman" w:eastAsia="SimSun" w:cs="Times New Roman"/>
                <w:kern w:val="3"/>
                <w:sz w:val="24"/>
                <w:szCs w:val="24"/>
                <w:lang w:eastAsia="en-US" w:bidi="hi-IN"/>
              </w:rPr>
            </w:pPr>
            <w:r>
              <w:rPr>
                <w:rFonts w:ascii="Times New Roman" w:hAnsi="Times New Roman" w:eastAsia="SimSun" w:cs="Times New Roman"/>
                <w:kern w:val="3"/>
                <w:sz w:val="24"/>
                <w:szCs w:val="24"/>
                <w:lang w:eastAsia="en-US" w:bidi="hi-IN"/>
              </w:rPr>
              <w:t>Unid</w:t>
            </w:r>
          </w:p>
        </w:tc>
        <w:tc>
          <w:tcPr>
            <w:tcW w:w="3685" w:type="dxa"/>
            <w:shd w:val="clear" w:color="auto" w:fill="auto"/>
            <w:vAlign w:val="bottom"/>
          </w:tcPr>
          <w:p w14:paraId="1BA679BA">
            <w:pPr>
              <w:jc w:val="center"/>
              <w:textAlignment w:val="bottom"/>
              <w:rPr>
                <w:rFonts w:ascii="Times New Roman" w:hAnsi="Times New Roman" w:eastAsia="SimSun" w:cs="Times New Roman"/>
                <w:color w:val="000000"/>
                <w:sz w:val="22"/>
                <w:szCs w:val="22"/>
                <w:lang w:eastAsia="zh-CN" w:bidi="ar"/>
              </w:rPr>
            </w:pPr>
            <w:r>
              <w:rPr>
                <w:rStyle w:val="11"/>
                <w:rFonts w:ascii="Times New Roman" w:hAnsi="Times New Roman" w:cs="Times New Roman" w:eastAsiaTheme="minorHAnsi"/>
                <w:color w:val="000000"/>
                <w:sz w:val="22"/>
                <w:szCs w:val="22"/>
                <w:lang w:eastAsia="en-US"/>
              </w:rPr>
              <w:t>Veículo automotor de 7 (sete) lugares, 0 km, cor branca, ano modelo: 2026/2026, ou superior, direção elétrica, motor 1.0 turbo flex, câmbio CVT de 7 marchas, central multimídia de 10 polegadas, 6 alto falantes, ar-condicionado central, porta malas de 398 litros, 1 porta USB de recarga/dados e 2 portas USB para carregamento rápido na 2ª fila,</w:t>
            </w:r>
            <w:r>
              <w:rPr>
                <w:rStyle w:val="11"/>
                <w:rFonts w:ascii="Times New Roman" w:hAnsi="Times New Roman" w:cs="Times New Roman" w:eastAsiaTheme="minorHAnsi"/>
                <w:color w:val="545D7E"/>
                <w:sz w:val="22"/>
                <w:szCs w:val="22"/>
                <w:shd w:val="clear" w:color="auto" w:fill="FFFFFF"/>
                <w:lang w:eastAsia="en-US"/>
              </w:rPr>
              <w:t> b</w:t>
            </w:r>
            <w:r>
              <w:rPr>
                <w:rStyle w:val="11"/>
                <w:rFonts w:ascii="Times New Roman" w:hAnsi="Times New Roman" w:cs="Times New Roman" w:eastAsiaTheme="minorHAnsi"/>
                <w:color w:val="000000"/>
                <w:sz w:val="22"/>
                <w:szCs w:val="22"/>
                <w:lang w:eastAsia="en-US"/>
              </w:rPr>
              <w:t>anco do motorista com ajuste de altura, bancos traseiros rebatíveis e maçanetas na cor da carroceria, tanque de combustível de 47 litros,  ar-condicionado,  vidros elétricos,  banco do motorista com ajuste de altura,  airbags laterais,  rodas de liga leve de 16”,  sensor de estacionamento traseiro, e demais itens de série exigidos pelo CONTRAN, garantia total de 36 meses.</w:t>
            </w:r>
          </w:p>
        </w:tc>
        <w:tc>
          <w:tcPr>
            <w:tcW w:w="1701" w:type="dxa"/>
            <w:shd w:val="clear" w:color="auto" w:fill="auto"/>
            <w:vAlign w:val="bottom"/>
          </w:tcPr>
          <w:p w14:paraId="5C989408">
            <w:pPr>
              <w:jc w:val="center"/>
              <w:textAlignment w:val="bottom"/>
              <w:rPr>
                <w:rFonts w:ascii="Times New Roman" w:hAnsi="Times New Roman" w:eastAsia="SimSun" w:cs="Times New Roman"/>
                <w:color w:val="000000"/>
                <w:sz w:val="24"/>
                <w:szCs w:val="24"/>
                <w:lang w:eastAsia="zh-CN" w:bidi="ar"/>
              </w:rPr>
            </w:pPr>
            <w:r>
              <w:rPr>
                <w:rFonts w:ascii="Times New Roman" w:hAnsi="Times New Roman" w:eastAsia="SimSun" w:cs="Times New Roman"/>
                <w:color w:val="000000"/>
                <w:sz w:val="24"/>
                <w:szCs w:val="24"/>
                <w:lang w:eastAsia="zh-CN" w:bidi="ar"/>
              </w:rPr>
              <w:t>R$172.223,53</w:t>
            </w:r>
          </w:p>
        </w:tc>
        <w:tc>
          <w:tcPr>
            <w:tcW w:w="1819" w:type="dxa"/>
            <w:shd w:val="clear" w:color="auto" w:fill="auto"/>
            <w:vAlign w:val="bottom"/>
          </w:tcPr>
          <w:p w14:paraId="6473F156">
            <w:pPr>
              <w:jc w:val="center"/>
              <w:textAlignment w:val="bottom"/>
              <w:rPr>
                <w:rFonts w:ascii="Times New Roman" w:hAnsi="Times New Roman" w:eastAsia="SimSun" w:cs="Times New Roman"/>
                <w:color w:val="000000"/>
                <w:sz w:val="24"/>
                <w:szCs w:val="24"/>
                <w:lang w:eastAsia="zh-CN" w:bidi="ar"/>
              </w:rPr>
            </w:pPr>
            <w:r>
              <w:rPr>
                <w:rFonts w:ascii="Times New Roman" w:hAnsi="Times New Roman" w:eastAsia="SimSun" w:cs="Times New Roman"/>
                <w:color w:val="000000"/>
                <w:sz w:val="24"/>
                <w:szCs w:val="24"/>
                <w:lang w:eastAsia="zh-CN" w:bidi="ar"/>
              </w:rPr>
              <w:t>R$172.223,53</w:t>
            </w:r>
          </w:p>
        </w:tc>
      </w:tr>
    </w:tbl>
    <w:p w14:paraId="38806CF5">
      <w:pPr>
        <w:pStyle w:val="99"/>
        <w:spacing w:before="288" w:beforeLines="120" w:after="288" w:afterLines="120" w:line="288" w:lineRule="auto"/>
        <w:ind w:left="0" w:firstLine="0"/>
        <w:contextualSpacing/>
        <w:rPr>
          <w:rFonts w:asciiTheme="minorHAnsi" w:hAnsiTheme="minorHAnsi" w:cstheme="minorHAnsi"/>
          <w:b/>
          <w:bCs/>
          <w:color w:val="auto"/>
          <w:sz w:val="24"/>
          <w:szCs w:val="24"/>
        </w:rPr>
      </w:pPr>
    </w:p>
    <w:p w14:paraId="195CD4CB">
      <w:pPr>
        <w:pStyle w:val="99"/>
        <w:spacing w:before="288" w:beforeLines="120" w:after="288" w:afterLines="120" w:line="288" w:lineRule="auto"/>
        <w:ind w:left="0" w:firstLine="0"/>
        <w:contextualSpacing/>
        <w:rPr>
          <w:rFonts w:ascii="Times New Roman" w:hAnsi="Times New Roman" w:cs="Times New Roman"/>
          <w:b/>
          <w:bCs/>
          <w:color w:val="auto"/>
          <w:sz w:val="24"/>
          <w:szCs w:val="24"/>
        </w:rPr>
      </w:pPr>
      <w:r>
        <w:rPr>
          <w:rFonts w:ascii="Times New Roman" w:hAnsi="Times New Roman" w:cs="Times New Roman"/>
          <w:b/>
          <w:bCs/>
          <w:color w:val="auto"/>
          <w:sz w:val="24"/>
          <w:szCs w:val="24"/>
        </w:rPr>
        <w:t>2. DO REGISTRO DE PREÇOS</w:t>
      </w:r>
    </w:p>
    <w:p w14:paraId="195C3A74">
      <w:pPr>
        <w:pStyle w:val="24"/>
        <w:spacing w:before="0" w:beforeAutospacing="0" w:after="0" w:afterAutospacing="0" w:line="288" w:lineRule="auto"/>
        <w:contextualSpacing/>
        <w:jc w:val="both"/>
        <w:rPr>
          <w:color w:val="000000"/>
        </w:rPr>
      </w:pPr>
      <w:r>
        <w:rPr>
          <w:color w:val="000000"/>
        </w:rPr>
        <w:t>2.1 O órgão/entidade gerenciador(a) e o(s) órgão(s)/entidade(s) participante(s), ora em diante, serão denominados gerenciador e participantes, respectivamente.</w:t>
      </w:r>
    </w:p>
    <w:p w14:paraId="023B2B4B">
      <w:pPr>
        <w:pStyle w:val="24"/>
        <w:spacing w:before="0" w:beforeAutospacing="0" w:after="0" w:afterAutospacing="0" w:line="288" w:lineRule="auto"/>
        <w:contextualSpacing/>
        <w:jc w:val="both"/>
        <w:rPr>
          <w:color w:val="000000"/>
        </w:rPr>
      </w:pPr>
      <w:r>
        <w:rPr>
          <w:color w:val="000000"/>
        </w:rPr>
        <w:t> </w:t>
      </w:r>
    </w:p>
    <w:p w14:paraId="32F883BC">
      <w:pPr>
        <w:pStyle w:val="24"/>
        <w:spacing w:before="0" w:beforeAutospacing="0" w:after="0" w:afterAutospacing="0" w:line="288" w:lineRule="auto"/>
        <w:contextualSpacing/>
        <w:jc w:val="both"/>
        <w:rPr>
          <w:color w:val="000000"/>
        </w:rPr>
      </w:pPr>
      <w:r>
        <w:rPr>
          <w:color w:val="000000"/>
        </w:rPr>
        <w:t>2.1.2 Aplicam-se ao gerenciador e aos participantes, quando houver, as regras estabelecidas no Termo de Referência, na Ata de Registro de Preços e nos demais anexos a este Edital, que devem ser observadas, também, no que se refere às quantidades, prazos e locais de entrega e demais obrigações. ​</w:t>
      </w:r>
    </w:p>
    <w:p w14:paraId="02E29294">
      <w:pPr>
        <w:autoSpaceDE w:val="0"/>
        <w:autoSpaceDN w:val="0"/>
        <w:adjustRightInd w:val="0"/>
        <w:spacing w:line="288" w:lineRule="auto"/>
        <w:contextualSpacing/>
        <w:jc w:val="both"/>
        <w:rPr>
          <w:b/>
          <w:color w:val="FF0000"/>
          <w:sz w:val="24"/>
          <w:szCs w:val="24"/>
        </w:rPr>
      </w:pPr>
    </w:p>
    <w:p w14:paraId="491DE2A0">
      <w:pPr>
        <w:autoSpaceDE w:val="0"/>
        <w:autoSpaceDN w:val="0"/>
        <w:adjustRightInd w:val="0"/>
        <w:spacing w:line="288" w:lineRule="auto"/>
        <w:contextualSpacing/>
        <w:jc w:val="both"/>
        <w:rPr>
          <w:bCs/>
          <w:sz w:val="24"/>
          <w:szCs w:val="24"/>
        </w:rPr>
      </w:pPr>
      <w:r>
        <w:rPr>
          <w:bCs/>
          <w:sz w:val="24"/>
          <w:szCs w:val="24"/>
        </w:rPr>
        <w:t xml:space="preserve">2.2 A Ata de Registro de Preços conforme Anexo VI, poderá ser aderida por quaisquer órgãos ou entidades do Município que não tenham participado do certame licitatório, ora denominados não-participantes.  </w:t>
      </w:r>
    </w:p>
    <w:p w14:paraId="1A8BEA13">
      <w:pPr>
        <w:autoSpaceDE w:val="0"/>
        <w:autoSpaceDN w:val="0"/>
        <w:adjustRightInd w:val="0"/>
        <w:spacing w:line="288" w:lineRule="auto"/>
        <w:contextualSpacing/>
        <w:jc w:val="both"/>
        <w:rPr>
          <w:bCs/>
          <w:sz w:val="24"/>
          <w:szCs w:val="24"/>
        </w:rPr>
      </w:pPr>
    </w:p>
    <w:p w14:paraId="049F8C22">
      <w:pPr>
        <w:autoSpaceDE w:val="0"/>
        <w:autoSpaceDN w:val="0"/>
        <w:adjustRightInd w:val="0"/>
        <w:spacing w:line="288" w:lineRule="auto"/>
        <w:contextualSpacing/>
        <w:jc w:val="both"/>
        <w:rPr>
          <w:bCs/>
          <w:sz w:val="24"/>
          <w:szCs w:val="24"/>
        </w:rPr>
      </w:pPr>
      <w:r>
        <w:rPr>
          <w:bCs/>
          <w:sz w:val="24"/>
          <w:szCs w:val="24"/>
        </w:rPr>
        <w:t xml:space="preserve">2.2.1 Podem também ser considerados não-participantes os órgãos ou entidades municipais, distritais, de outros Estados e federais, resguardadas as disposições de cada ente, desde que atendidas as condições do presente Edital e da Ata de Registro de Preços. </w:t>
      </w:r>
    </w:p>
    <w:p w14:paraId="77CFB4C9">
      <w:pPr>
        <w:autoSpaceDE w:val="0"/>
        <w:autoSpaceDN w:val="0"/>
        <w:adjustRightInd w:val="0"/>
        <w:spacing w:line="288" w:lineRule="auto"/>
        <w:contextualSpacing/>
        <w:jc w:val="both"/>
        <w:rPr>
          <w:bCs/>
          <w:color w:val="231F20"/>
          <w:sz w:val="24"/>
          <w:szCs w:val="24"/>
        </w:rPr>
      </w:pPr>
    </w:p>
    <w:p w14:paraId="76578B50">
      <w:pPr>
        <w:autoSpaceDE w:val="0"/>
        <w:autoSpaceDN w:val="0"/>
        <w:adjustRightInd w:val="0"/>
        <w:spacing w:line="288" w:lineRule="auto"/>
        <w:contextualSpacing/>
        <w:jc w:val="both"/>
        <w:rPr>
          <w:bCs/>
          <w:sz w:val="24"/>
          <w:szCs w:val="24"/>
        </w:rPr>
      </w:pPr>
      <w:r>
        <w:rPr>
          <w:bCs/>
          <w:color w:val="231F20"/>
          <w:sz w:val="24"/>
          <w:szCs w:val="24"/>
        </w:rPr>
        <w:t>2.3 S</w:t>
      </w:r>
      <w:r>
        <w:rPr>
          <w:bCs/>
          <w:sz w:val="24"/>
          <w:szCs w:val="24"/>
        </w:rPr>
        <w:t xml:space="preserve">ão as seguintes as quantidades estimadas para a contratação, conforme descrição no Termo de Referência: </w:t>
      </w:r>
    </w:p>
    <w:p w14:paraId="1788657D">
      <w:pPr>
        <w:pStyle w:val="99"/>
        <w:spacing w:before="288" w:beforeLines="120" w:after="288" w:afterLines="120" w:line="288" w:lineRule="auto"/>
        <w:ind w:left="0" w:hanging="7"/>
        <w:contextualSpacing/>
        <w:rPr>
          <w:rFonts w:ascii="Times New Roman" w:hAnsi="Times New Roman" w:cs="Times New Roman"/>
          <w:bCs/>
          <w:color w:val="auto"/>
          <w:sz w:val="24"/>
          <w:szCs w:val="24"/>
        </w:rPr>
      </w:pPr>
      <w:r>
        <w:rPr>
          <w:rFonts w:ascii="Times New Roman" w:hAnsi="Times New Roman" w:cs="Times New Roman"/>
          <w:bCs/>
          <w:color w:val="auto"/>
          <w:sz w:val="24"/>
          <w:szCs w:val="24"/>
        </w:rPr>
        <w:t xml:space="preserve">2.3.2.1 As contratações adicionais pelos não-participantes não poderão exceder, por órgão ou entidade, a 200 % (duzentos por cento) dos quantitativos dos itens registrados na Ata de Registro de Preços para o gerenciador e para os participantes, quando houver. </w:t>
      </w:r>
    </w:p>
    <w:p w14:paraId="66AA35C3">
      <w:pPr>
        <w:pStyle w:val="99"/>
        <w:spacing w:before="288" w:beforeLines="120" w:after="288" w:afterLines="120" w:line="288" w:lineRule="auto"/>
        <w:ind w:left="0" w:hanging="7"/>
        <w:contextualSpacing/>
        <w:rPr>
          <w:rFonts w:ascii="Times New Roman" w:hAnsi="Times New Roman" w:cs="Times New Roman"/>
          <w:bCs/>
          <w:color w:val="auto"/>
          <w:sz w:val="24"/>
          <w:szCs w:val="24"/>
        </w:rPr>
      </w:pPr>
    </w:p>
    <w:p w14:paraId="2ADD7360">
      <w:pPr>
        <w:pStyle w:val="99"/>
        <w:spacing w:before="288" w:beforeLines="120" w:after="288" w:afterLines="120" w:line="288" w:lineRule="auto"/>
        <w:ind w:left="0" w:hanging="7"/>
        <w:contextualSpacing/>
        <w:rPr>
          <w:rFonts w:ascii="Times New Roman" w:hAnsi="Times New Roman" w:cs="Times New Roman"/>
          <w:bCs/>
          <w:color w:val="auto"/>
          <w:sz w:val="24"/>
          <w:szCs w:val="24"/>
        </w:rPr>
      </w:pPr>
      <w:r>
        <w:rPr>
          <w:rFonts w:ascii="Times New Roman" w:hAnsi="Times New Roman" w:cs="Times New Roman"/>
          <w:bCs/>
          <w:color w:val="auto"/>
          <w:sz w:val="24"/>
          <w:szCs w:val="24"/>
        </w:rPr>
        <w:t>2.3.2.2 O quantitativo decorrente das adesões à Ata de Registro de Preços não poderá exceder, na totalidade, ao limite de 200 % ( duzentos</w:t>
      </w:r>
      <w:r>
        <w:rPr>
          <w:rFonts w:ascii="Times New Roman" w:hAnsi="Times New Roman" w:cs="Times New Roman"/>
          <w:bCs/>
          <w:color w:val="FF0000"/>
          <w:sz w:val="24"/>
          <w:szCs w:val="24"/>
        </w:rPr>
        <w:t xml:space="preserve"> </w:t>
      </w:r>
      <w:r>
        <w:rPr>
          <w:rFonts w:ascii="Times New Roman" w:hAnsi="Times New Roman" w:cs="Times New Roman"/>
          <w:bCs/>
          <w:color w:val="auto"/>
          <w:sz w:val="24"/>
          <w:szCs w:val="24"/>
        </w:rPr>
        <w:t>por cento) do quantitativo de cada item registrado na Ata para o gerenciador e para os participantes, quando houver, independentemente do número de órgãos ou entidades não-participantes que aderirem.</w:t>
      </w:r>
    </w:p>
    <w:p w14:paraId="0C9FF52E">
      <w:pPr>
        <w:pStyle w:val="99"/>
        <w:spacing w:before="288" w:beforeLines="120" w:after="288" w:afterLines="120" w:line="288" w:lineRule="auto"/>
        <w:ind w:left="0" w:firstLine="0"/>
        <w:contextualSpacing/>
        <w:rPr>
          <w:rFonts w:ascii="Times New Roman" w:hAnsi="Times New Roman" w:cs="Times New Roman"/>
          <w:bCs/>
          <w:color w:val="auto"/>
          <w:sz w:val="24"/>
          <w:szCs w:val="24"/>
        </w:rPr>
      </w:pPr>
    </w:p>
    <w:p w14:paraId="6F8DAE3D">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2.4 É vedada a participação do órgão ou da entidade em mais de uma Ata de Registro de Preços com o mesmo objeto no prazo de validade daquela de que já tiver participado, salvo na ocorrência de ata que tenha registrado quantitativo inferior ao máximo previsto no edital da licitação.</w:t>
      </w:r>
    </w:p>
    <w:p w14:paraId="296253C5">
      <w:pPr>
        <w:pStyle w:val="99"/>
        <w:spacing w:before="288" w:beforeLines="120" w:after="288" w:afterLines="120" w:line="288" w:lineRule="auto"/>
        <w:ind w:left="0" w:firstLine="0"/>
        <w:contextualSpacing/>
        <w:rPr>
          <w:rFonts w:ascii="Times New Roman" w:hAnsi="Times New Roman" w:cs="Times New Roman"/>
          <w:sz w:val="24"/>
          <w:szCs w:val="24"/>
        </w:rPr>
      </w:pPr>
    </w:p>
    <w:p w14:paraId="3C347EEA">
      <w:pPr>
        <w:pStyle w:val="99"/>
        <w:spacing w:before="288" w:beforeLines="120" w:after="288" w:afterLines="120" w:line="288" w:lineRule="auto"/>
        <w:ind w:left="0" w:firstLine="0"/>
        <w:contextualSpacing/>
        <w:rPr>
          <w:rFonts w:ascii="Times New Roman" w:hAnsi="Times New Roman" w:cs="Times New Roman"/>
          <w:b/>
          <w:bCs/>
          <w:color w:val="auto"/>
          <w:sz w:val="24"/>
          <w:szCs w:val="24"/>
        </w:rPr>
      </w:pPr>
      <w:r>
        <w:rPr>
          <w:rFonts w:ascii="Times New Roman" w:hAnsi="Times New Roman" w:cs="Times New Roman"/>
          <w:b/>
          <w:bCs/>
          <w:color w:val="auto"/>
          <w:sz w:val="24"/>
          <w:szCs w:val="24"/>
        </w:rPr>
        <w:t>3. DA PARTICIPAÇÃO NA LICITAÇÃO</w:t>
      </w:r>
    </w:p>
    <w:p w14:paraId="44F5A263">
      <w:pPr>
        <w:pStyle w:val="103"/>
        <w:spacing w:before="288" w:beforeLines="120" w:after="288" w:afterLines="120"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3.1 Poderão participar deste Pregão os interessados que estiverem previamente credenciados no Sistema de Cadastramento Unificado de Fornecedores - SICAF e no sistema de compras do governo federal (</w:t>
      </w:r>
      <w:r>
        <w:fldChar w:fldCharType="begin"/>
      </w:r>
      <w:r>
        <w:instrText xml:space="preserve"> HYPERLINK "http://www.gov.br/compras" </w:instrText>
      </w:r>
      <w:r>
        <w:fldChar w:fldCharType="separate"/>
      </w:r>
      <w:r>
        <w:rPr>
          <w:rStyle w:val="16"/>
          <w:rFonts w:ascii="Times New Roman" w:hAnsi="Times New Roman" w:cs="Times New Roman" w:eastAsiaTheme="minorHAnsi"/>
          <w:color w:val="auto"/>
          <w:sz w:val="24"/>
          <w:szCs w:val="24"/>
        </w:rPr>
        <w:t>www.gov.br/compras</w:t>
      </w:r>
      <w:r>
        <w:rPr>
          <w:rStyle w:val="16"/>
          <w:rFonts w:ascii="Times New Roman" w:hAnsi="Times New Roman" w:cs="Times New Roman" w:eastAsiaTheme="minorHAnsi"/>
          <w:color w:val="auto"/>
          <w:sz w:val="24"/>
          <w:szCs w:val="24"/>
        </w:rPr>
        <w:fldChar w:fldCharType="end"/>
      </w:r>
      <w:r>
        <w:rPr>
          <w:rFonts w:ascii="Times New Roman" w:hAnsi="Times New Roman" w:cs="Times New Roman"/>
          <w:color w:val="auto"/>
          <w:sz w:val="24"/>
          <w:szCs w:val="24"/>
        </w:rPr>
        <w:t>), por meio de Certificado Digital conferido pela Infraestrutura de Chaves Públicas Brasileira – ICP – Brasil.</w:t>
      </w:r>
    </w:p>
    <w:p w14:paraId="1E637F77">
      <w:pPr>
        <w:pStyle w:val="103"/>
        <w:spacing w:before="288" w:beforeLines="120" w:after="288" w:afterLines="120" w:line="288" w:lineRule="auto"/>
        <w:ind w:left="567" w:right="565" w:firstLine="0"/>
        <w:contextualSpacing/>
        <w:rPr>
          <w:rFonts w:ascii="Times New Roman" w:hAnsi="Times New Roman" w:cs="Times New Roman"/>
          <w:color w:val="auto"/>
          <w:sz w:val="24"/>
          <w:szCs w:val="24"/>
        </w:rPr>
      </w:pPr>
    </w:p>
    <w:p w14:paraId="6A1DC75A">
      <w:pPr>
        <w:pStyle w:val="103"/>
        <w:spacing w:before="288" w:beforeLines="120" w:after="288" w:afterLines="120" w:line="288" w:lineRule="auto"/>
        <w:ind w:left="0"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3.1.1 Os interessados deverão atender às condições exigidas no cadastramento no SICAF até o terceiro dia útil anterior à data prevista para recebimento das propostas.</w:t>
      </w:r>
    </w:p>
    <w:p w14:paraId="1375C0B5">
      <w:pPr>
        <w:pStyle w:val="103"/>
        <w:spacing w:before="288" w:beforeLines="120" w:after="288" w:afterLines="120" w:line="288" w:lineRule="auto"/>
        <w:ind w:left="567" w:right="565" w:firstLine="0"/>
        <w:contextualSpacing/>
        <w:rPr>
          <w:rFonts w:ascii="Times New Roman" w:hAnsi="Times New Roman" w:eastAsia="Calibri" w:cs="Times New Roman"/>
          <w:sz w:val="24"/>
          <w:szCs w:val="24"/>
          <w:lang w:eastAsia="en-US"/>
        </w:rPr>
      </w:pPr>
    </w:p>
    <w:p w14:paraId="276EA0A5">
      <w:pPr>
        <w:pStyle w:val="10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eastAsia="Calibri" w:cs="Times New Roman"/>
          <w:sz w:val="24"/>
          <w:szCs w:val="24"/>
          <w:lang w:eastAsia="en-US"/>
        </w:rPr>
        <w:t xml:space="preserve">3.1.2 </w:t>
      </w:r>
      <w:r>
        <w:rPr>
          <w:rFonts w:ascii="Times New Roman" w:hAnsi="Times New Roman" w:cs="Times New Roman"/>
          <w:sz w:val="24"/>
          <w:szCs w:val="24"/>
        </w:rPr>
        <w:t xml:space="preserve">O procedimento será divulgado </w:t>
      </w:r>
      <w:r>
        <w:rPr>
          <w:rFonts w:ascii="Times New Roman" w:hAnsi="Times New Roman" w:cs="Times New Roman"/>
          <w:color w:val="auto"/>
          <w:sz w:val="24"/>
          <w:szCs w:val="24"/>
        </w:rPr>
        <w:t>no sítio eletrônico mencionado no item 3.1</w:t>
      </w:r>
      <w:r>
        <w:rPr>
          <w:rFonts w:ascii="Times New Roman" w:hAnsi="Times New Roman" w:cs="Times New Roman"/>
          <w:color w:val="FF0000"/>
          <w:sz w:val="24"/>
          <w:szCs w:val="24"/>
        </w:rPr>
        <w:t xml:space="preserve"> </w:t>
      </w:r>
      <w:r>
        <w:rPr>
          <w:rFonts w:ascii="Times New Roman" w:hAnsi="Times New Roman" w:cs="Times New Roman"/>
          <w:sz w:val="24"/>
          <w:szCs w:val="24"/>
        </w:rPr>
        <w:t>e no Portal Nacional de Contratações Públicas – PNCP.</w:t>
      </w:r>
      <w:r>
        <w:rPr>
          <w:rFonts w:ascii="Times New Roman" w:hAnsi="Times New Roman" w:cs="Times New Roman"/>
          <w:strike/>
          <w:sz w:val="24"/>
          <w:szCs w:val="24"/>
        </w:rPr>
        <w:t xml:space="preserve"> </w:t>
      </w:r>
    </w:p>
    <w:p w14:paraId="5A1598F4">
      <w:pPr>
        <w:pStyle w:val="99"/>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3.2 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0999BFA1">
      <w:pPr>
        <w:pStyle w:val="99"/>
        <w:spacing w:before="288" w:beforeLines="120" w:after="288" w:afterLines="120" w:line="288" w:lineRule="auto"/>
        <w:ind w:left="0" w:firstLine="0"/>
        <w:contextualSpacing/>
        <w:rPr>
          <w:rFonts w:ascii="Times New Roman" w:hAnsi="Times New Roman" w:eastAsia="Calibri" w:cs="Times New Roman"/>
          <w:sz w:val="24"/>
          <w:szCs w:val="24"/>
          <w:lang w:eastAsia="en-US"/>
        </w:rPr>
      </w:pPr>
    </w:p>
    <w:p w14:paraId="6A59480C">
      <w:pPr>
        <w:pStyle w:val="99"/>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eastAsia="Calibri" w:cs="Times New Roman"/>
          <w:sz w:val="24"/>
          <w:szCs w:val="24"/>
          <w:lang w:eastAsia="en-US"/>
        </w:rPr>
        <w:t xml:space="preserve">3.3 </w:t>
      </w:r>
      <w:r>
        <w:rPr>
          <w:rFonts w:ascii="Times New Roman" w:hAnsi="Times New Roman" w:cs="Times New Roman"/>
          <w:color w:val="auto"/>
          <w:sz w:val="24"/>
          <w:szCs w:val="24"/>
        </w:rPr>
        <w:t>É de responsabilidade do cadastrado conferir a exatidão dos seus dados cadastrais nos Sistemas relacionados neste item 3 e mantê-los atualizados junto aos órgãos responsáveis pela informação, devendo proceder, imediatamente, à correção ou à alteração dos registros tão logo identifique incorreção ou aqueles se tornem desatualizados.</w:t>
      </w:r>
    </w:p>
    <w:p w14:paraId="7E2DD5EA">
      <w:pPr>
        <w:pStyle w:val="99"/>
        <w:spacing w:before="288" w:beforeLines="120" w:after="288" w:afterLines="120" w:line="288" w:lineRule="auto"/>
        <w:ind w:left="0" w:firstLine="0"/>
        <w:contextualSpacing/>
        <w:rPr>
          <w:rFonts w:ascii="Times New Roman" w:hAnsi="Times New Roman" w:cs="Times New Roman"/>
          <w:color w:val="auto"/>
          <w:sz w:val="24"/>
          <w:szCs w:val="24"/>
        </w:rPr>
      </w:pPr>
    </w:p>
    <w:p w14:paraId="3F745EE1">
      <w:pPr>
        <w:pStyle w:val="99"/>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3.4 A não observância do disposto no item anterior poderá ensejar desclassificação no momento da habilitação.</w:t>
      </w:r>
    </w:p>
    <w:p w14:paraId="6E68B4BA">
      <w:pPr>
        <w:pStyle w:val="99"/>
        <w:spacing w:before="288" w:beforeLines="120" w:after="288" w:afterLines="120" w:line="288" w:lineRule="auto"/>
        <w:ind w:left="0" w:firstLine="0"/>
        <w:contextualSpacing/>
        <w:rPr>
          <w:rFonts w:ascii="Times New Roman" w:hAnsi="Times New Roman" w:cs="Times New Roman"/>
          <w:color w:val="auto"/>
          <w:sz w:val="24"/>
          <w:szCs w:val="24"/>
        </w:rPr>
      </w:pPr>
    </w:p>
    <w:p w14:paraId="41EA3F5A">
      <w:pPr>
        <w:pStyle w:val="99"/>
        <w:spacing w:before="288" w:beforeLines="120" w:after="288" w:afterLines="120" w:line="288" w:lineRule="auto"/>
        <w:ind w:left="0" w:right="-2" w:firstLine="0"/>
        <w:contextualSpacing/>
        <w:rPr>
          <w:rFonts w:ascii="Times New Roman" w:hAnsi="Times New Roman" w:eastAsia="Calibri" w:cs="Times New Roman"/>
          <w:color w:val="auto"/>
          <w:sz w:val="24"/>
          <w:szCs w:val="24"/>
          <w:lang w:eastAsia="en-US"/>
        </w:rPr>
      </w:pPr>
      <w:r>
        <w:rPr>
          <w:rFonts w:ascii="Times New Roman" w:hAnsi="Times New Roman" w:eastAsia="Calibri" w:cs="Times New Roman"/>
          <w:color w:val="auto"/>
          <w:sz w:val="24"/>
          <w:szCs w:val="24"/>
          <w:lang w:eastAsia="en-US"/>
        </w:rPr>
        <w:t>3.5 Será reservada cota de 25% (vinte e cinco por cento) para microempresas e empresas de pequeno porte, na forma do art. 48, III, da Lei Complementar n° 123/2006, e do art. 8º do Decreto n.º 42.063, de 06 de outubro de 2009.</w:t>
      </w:r>
    </w:p>
    <w:p w14:paraId="528D3C3B">
      <w:pPr>
        <w:pStyle w:val="99"/>
        <w:spacing w:before="288" w:beforeLines="120" w:after="288" w:afterLines="120" w:line="288" w:lineRule="auto"/>
        <w:ind w:left="0" w:right="-2" w:firstLine="0"/>
        <w:contextualSpacing/>
        <w:rPr>
          <w:rFonts w:ascii="Times New Roman" w:hAnsi="Times New Roman" w:eastAsia="Calibri" w:cs="Times New Roman"/>
          <w:color w:val="000000" w:themeColor="text1"/>
          <w:sz w:val="24"/>
          <w:szCs w:val="24"/>
          <w:lang w:eastAsia="en-US"/>
          <w14:textFill>
            <w14:solidFill>
              <w14:schemeClr w14:val="tx1"/>
            </w14:solidFill>
          </w14:textFill>
        </w:rPr>
      </w:pPr>
    </w:p>
    <w:p w14:paraId="0F4C89CA">
      <w:pPr>
        <w:pStyle w:val="99"/>
        <w:spacing w:before="288" w:beforeLines="120" w:after="288" w:afterLines="120" w:line="288" w:lineRule="auto"/>
        <w:ind w:left="0" w:right="-2" w:firstLine="0"/>
        <w:contextualSpacing/>
        <w:rPr>
          <w:rFonts w:ascii="Times New Roman" w:hAnsi="Times New Roman" w:eastAsia="Calibri" w:cs="Times New Roman"/>
          <w:color w:val="000000" w:themeColor="text1"/>
          <w:sz w:val="24"/>
          <w:szCs w:val="24"/>
          <w:lang w:eastAsia="en-US"/>
          <w14:textFill>
            <w14:solidFill>
              <w14:schemeClr w14:val="tx1"/>
            </w14:solidFill>
          </w14:textFill>
        </w:rPr>
      </w:pPr>
      <w:r>
        <w:rPr>
          <w:rFonts w:ascii="Times New Roman" w:hAnsi="Times New Roman" w:eastAsia="Calibri" w:cs="Times New Roman"/>
          <w:color w:val="000000" w:themeColor="text1"/>
          <w:sz w:val="24"/>
          <w:szCs w:val="24"/>
          <w:lang w:eastAsia="en-US"/>
          <w14:textFill>
            <w14:solidFill>
              <w14:schemeClr w14:val="tx1"/>
            </w14:solidFill>
          </w14:textFill>
        </w:rPr>
        <w:t>3.5.1 Na hipótese de não haver vencedor para a cota reservada, esta poderá ser adjudicada ao vencedor da cota principal ou, diante de sua recusa, aos licitantes remanescentes, desde que pratiquem o preço do primeiro colocado da cota principal.</w:t>
      </w:r>
    </w:p>
    <w:p w14:paraId="064EC282">
      <w:pPr>
        <w:pStyle w:val="99"/>
        <w:spacing w:before="288" w:beforeLines="120" w:after="288" w:afterLines="120" w:line="288" w:lineRule="auto"/>
        <w:ind w:left="0" w:right="-2" w:firstLine="0"/>
        <w:contextualSpacing/>
        <w:rPr>
          <w:rFonts w:ascii="Times New Roman" w:hAnsi="Times New Roman" w:eastAsia="Calibri" w:cs="Times New Roman"/>
          <w:color w:val="000000" w:themeColor="text1"/>
          <w:sz w:val="24"/>
          <w:szCs w:val="24"/>
          <w:lang w:eastAsia="en-US"/>
          <w14:textFill>
            <w14:solidFill>
              <w14:schemeClr w14:val="tx1"/>
            </w14:solidFill>
          </w14:textFill>
        </w:rPr>
      </w:pPr>
    </w:p>
    <w:p w14:paraId="1688AA94">
      <w:pPr>
        <w:pStyle w:val="99"/>
        <w:spacing w:before="288" w:beforeLines="120" w:after="288" w:afterLines="120" w:line="288" w:lineRule="auto"/>
        <w:ind w:left="0" w:right="-2" w:firstLine="0"/>
        <w:contextualSpacing/>
        <w:rPr>
          <w:rFonts w:ascii="Times New Roman" w:hAnsi="Times New Roman" w:eastAsia="Calibri" w:cs="Times New Roman"/>
          <w:color w:val="000000" w:themeColor="text1"/>
          <w:sz w:val="24"/>
          <w:szCs w:val="24"/>
          <w:lang w:eastAsia="en-US"/>
          <w14:textFill>
            <w14:solidFill>
              <w14:schemeClr w14:val="tx1"/>
            </w14:solidFill>
          </w14:textFill>
        </w:rPr>
      </w:pPr>
      <w:r>
        <w:rPr>
          <w:rFonts w:ascii="Times New Roman" w:hAnsi="Times New Roman" w:eastAsia="Calibri" w:cs="Times New Roman"/>
          <w:color w:val="000000" w:themeColor="text1"/>
          <w:sz w:val="24"/>
          <w:szCs w:val="24"/>
          <w:lang w:eastAsia="en-US"/>
          <w14:textFill>
            <w14:solidFill>
              <w14:schemeClr w14:val="tx1"/>
            </w14:solidFill>
          </w14:textFill>
        </w:rPr>
        <w:t>3.5.2 Se a mesma empresa vencer a cota reservada e a cota principal, a contratação das cotas deverá ocorrer pelo menor preço.</w:t>
      </w:r>
    </w:p>
    <w:p w14:paraId="1404AFD5">
      <w:pPr>
        <w:pStyle w:val="99"/>
        <w:spacing w:before="288" w:beforeLines="120" w:after="288" w:afterLines="120" w:line="288" w:lineRule="auto"/>
        <w:ind w:left="0" w:right="-2" w:firstLine="0"/>
        <w:contextualSpacing/>
        <w:rPr>
          <w:rFonts w:ascii="Times New Roman" w:hAnsi="Times New Roman" w:eastAsia="Calibri" w:cs="Times New Roman"/>
          <w:color w:val="000000" w:themeColor="text1"/>
          <w:sz w:val="24"/>
          <w:szCs w:val="24"/>
          <w:lang w:eastAsia="en-US"/>
          <w14:textFill>
            <w14:solidFill>
              <w14:schemeClr w14:val="tx1"/>
            </w14:solidFill>
          </w14:textFill>
        </w:rPr>
      </w:pPr>
    </w:p>
    <w:p w14:paraId="12DA3D79">
      <w:pPr>
        <w:pStyle w:val="99"/>
        <w:spacing w:before="288" w:beforeLines="120" w:after="288" w:afterLines="120" w:line="288" w:lineRule="auto"/>
        <w:ind w:left="0" w:right="-2" w:firstLine="0"/>
        <w:contextualSpacing/>
        <w:rPr>
          <w:rFonts w:ascii="Times New Roman" w:hAnsi="Times New Roman" w:eastAsia="Calibri" w:cs="Times New Roman"/>
          <w:color w:val="auto"/>
          <w:sz w:val="24"/>
          <w:szCs w:val="24"/>
          <w:lang w:eastAsia="en-US"/>
        </w:rPr>
      </w:pPr>
      <w:r>
        <w:rPr>
          <w:rFonts w:ascii="Times New Roman" w:hAnsi="Times New Roman" w:eastAsia="Calibri" w:cs="Times New Roman"/>
          <w:color w:val="auto"/>
          <w:sz w:val="24"/>
          <w:szCs w:val="24"/>
          <w:lang w:eastAsia="en-US"/>
        </w:rPr>
        <w:t xml:space="preserve">3.5.3 </w:t>
      </w:r>
      <w:r>
        <w:rPr>
          <w:rFonts w:ascii="Times New Roman" w:hAnsi="Times New Roman" w:eastAsia="Calibri" w:cs="Times New Roman"/>
          <w:color w:val="auto"/>
          <w:sz w:val="24"/>
          <w:szCs w:val="24"/>
          <w:lang w:eastAsia="en-US"/>
        </w:rPr>
        <w:tab/>
      </w:r>
      <w:r>
        <w:rPr>
          <w:rFonts w:ascii="Times New Roman" w:hAnsi="Times New Roman" w:eastAsia="Calibri" w:cs="Times New Roman"/>
          <w:color w:val="auto"/>
          <w:sz w:val="24"/>
          <w:szCs w:val="24"/>
          <w:lang w:eastAsia="en-US"/>
        </w:rPr>
        <w:t>Será dada prioridade de aquisição aos produtos das cotas reservadas quando forem adjudicados aos licitantes qualificados como microempresas ou empresas de pequeno porte, ressalvados os casos em que a cota reservada for inadequada para atender as quantidades ou as condições do pedido, nos termos Lei Municipal nº 2367 /2007  e Lei complementar Municipal nº 122/2009.</w:t>
      </w:r>
    </w:p>
    <w:p w14:paraId="5974FC2F">
      <w:pPr>
        <w:pStyle w:val="99"/>
        <w:spacing w:before="288" w:beforeLines="120" w:after="288" w:afterLines="120" w:line="288" w:lineRule="auto"/>
        <w:ind w:left="0" w:firstLine="0"/>
        <w:contextualSpacing/>
        <w:rPr>
          <w:rFonts w:ascii="Times New Roman" w:hAnsi="Times New Roman" w:eastAsia="Calibri" w:cs="Times New Roman"/>
          <w:sz w:val="24"/>
          <w:szCs w:val="24"/>
          <w:lang w:eastAsia="en-US"/>
        </w:rPr>
      </w:pPr>
    </w:p>
    <w:p w14:paraId="77FB7DDF">
      <w:pPr>
        <w:pStyle w:val="99"/>
        <w:spacing w:before="288" w:beforeLines="120" w:after="288" w:afterLines="120" w:line="288" w:lineRule="auto"/>
        <w:ind w:left="0" w:right="-2" w:firstLine="0"/>
        <w:contextualSpacing/>
        <w:rPr>
          <w:rFonts w:ascii="Times New Roman" w:hAnsi="Times New Roman" w:eastAsia="Calibri" w:cs="Times New Roman"/>
          <w:color w:val="auto"/>
          <w:sz w:val="24"/>
          <w:szCs w:val="24"/>
          <w:lang w:eastAsia="en-US"/>
        </w:rPr>
      </w:pPr>
      <w:r>
        <w:rPr>
          <w:rFonts w:ascii="Times New Roman" w:hAnsi="Times New Roman" w:eastAsia="Calibri" w:cs="Times New Roman"/>
          <w:sz w:val="24"/>
          <w:szCs w:val="24"/>
          <w:lang w:eastAsia="en-US"/>
        </w:rPr>
        <w:t xml:space="preserve">3.6 </w:t>
      </w:r>
      <w:r>
        <w:rPr>
          <w:rFonts w:ascii="Times New Roman" w:hAnsi="Times New Roman" w:cs="Times New Roman"/>
          <w:color w:val="auto"/>
          <w:sz w:val="24"/>
          <w:szCs w:val="24"/>
        </w:rPr>
        <w:t xml:space="preserve">Será concedido o tratamento favorecido previsto nos arts. 42 a 49 da </w:t>
      </w:r>
      <w:r>
        <w:fldChar w:fldCharType="begin"/>
      </w:r>
      <w:r>
        <w:instrText xml:space="preserve"> HYPERLINK "https://www.planalto.gov.br/ccivil_03/leis/lcp/lcp123.htm" </w:instrText>
      </w:r>
      <w:r>
        <w:fldChar w:fldCharType="separate"/>
      </w:r>
      <w:r>
        <w:rPr>
          <w:rStyle w:val="16"/>
          <w:rFonts w:ascii="Times New Roman" w:hAnsi="Times New Roman" w:cs="Times New Roman" w:eastAsiaTheme="minorHAnsi"/>
          <w:color w:val="auto"/>
          <w:sz w:val="24"/>
          <w:szCs w:val="24"/>
        </w:rPr>
        <w:t>Lei Complementar nº 123/2006</w:t>
      </w:r>
      <w:r>
        <w:rPr>
          <w:rStyle w:val="16"/>
          <w:rFonts w:ascii="Times New Roman" w:hAnsi="Times New Roman" w:cs="Times New Roman" w:eastAsiaTheme="minorHAnsi"/>
          <w:color w:val="auto"/>
          <w:sz w:val="24"/>
          <w:szCs w:val="24"/>
        </w:rPr>
        <w:fldChar w:fldCharType="end"/>
      </w:r>
      <w:r>
        <w:rPr>
          <w:rFonts w:ascii="Times New Roman" w:hAnsi="Times New Roman" w:cs="Times New Roman"/>
          <w:color w:val="auto"/>
          <w:sz w:val="24"/>
          <w:szCs w:val="24"/>
        </w:rPr>
        <w:t xml:space="preserve"> ,  Lei Municipal n° 2367/2027</w:t>
      </w:r>
      <w:r>
        <w:rPr>
          <w:rFonts w:ascii="Times New Roman" w:hAnsi="Times New Roman" w:eastAsia="Calibri" w:cs="Times New Roman"/>
          <w:color w:val="auto"/>
          <w:sz w:val="24"/>
          <w:szCs w:val="24"/>
          <w:lang w:eastAsia="en-US"/>
        </w:rPr>
        <w:t xml:space="preserve"> e Lei complementar Municipal nº 122/2009.</w:t>
      </w:r>
    </w:p>
    <w:p w14:paraId="0618DC4F">
      <w:pPr>
        <w:pStyle w:val="99"/>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 para as microempresas e empresas de pequeno porte, para o agricultor familiar, o produtor rural pessoa física e para o microempreendedor individual - MEI.</w:t>
      </w:r>
      <w:bookmarkStart w:id="0" w:name="_Ref117015508"/>
    </w:p>
    <w:p w14:paraId="02C885C4">
      <w:pPr>
        <w:pStyle w:val="99"/>
        <w:spacing w:before="288" w:beforeLines="120" w:after="288" w:afterLines="120" w:line="288" w:lineRule="auto"/>
        <w:ind w:left="0" w:firstLine="0"/>
        <w:contextualSpacing/>
        <w:rPr>
          <w:rFonts w:ascii="Times New Roman" w:hAnsi="Times New Roman" w:cs="Times New Roman"/>
          <w:color w:val="auto"/>
          <w:sz w:val="24"/>
          <w:szCs w:val="24"/>
        </w:rPr>
      </w:pPr>
    </w:p>
    <w:p w14:paraId="61C0531E">
      <w:pPr>
        <w:pStyle w:val="99"/>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3.6.1 A obtenção dos benefícios a que se referem os arts. 42 a 49 da Lei Complementar nº 123/2006,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bookmarkEnd w:id="0"/>
    </w:p>
    <w:p w14:paraId="2A419878">
      <w:pPr>
        <w:tabs>
          <w:tab w:val="left" w:pos="1440"/>
        </w:tabs>
        <w:autoSpaceDE w:val="0"/>
        <w:snapToGrid w:val="0"/>
        <w:spacing w:before="288" w:beforeLines="120" w:after="288" w:afterLines="120" w:line="288" w:lineRule="auto"/>
        <w:contextualSpacing/>
        <w:jc w:val="both"/>
        <w:rPr>
          <w:sz w:val="24"/>
          <w:szCs w:val="24"/>
        </w:rPr>
      </w:pPr>
      <w:r>
        <w:rPr>
          <w:sz w:val="24"/>
          <w:szCs w:val="24"/>
        </w:rPr>
        <w:t>3.6.2 Nas contratações com prazo de vigência superior a 1 (um) ano, será considerado o valor anual do contrato.</w:t>
      </w:r>
    </w:p>
    <w:p w14:paraId="3182F3A9">
      <w:pPr>
        <w:pStyle w:val="99"/>
        <w:spacing w:before="288" w:beforeLines="120" w:after="288" w:afterLines="120" w:line="288" w:lineRule="auto"/>
        <w:ind w:left="0" w:firstLine="0"/>
        <w:contextualSpacing/>
        <w:rPr>
          <w:rFonts w:ascii="Times New Roman" w:hAnsi="Times New Roman" w:cs="Times New Roman"/>
          <w:color w:val="auto"/>
          <w:sz w:val="24"/>
          <w:szCs w:val="24"/>
        </w:rPr>
      </w:pPr>
      <w:bookmarkStart w:id="1" w:name="_Ref117000692"/>
      <w:r>
        <w:rPr>
          <w:rFonts w:ascii="Times New Roman" w:hAnsi="Times New Roman" w:cs="Times New Roman"/>
          <w:color w:val="auto"/>
          <w:sz w:val="24"/>
          <w:szCs w:val="24"/>
        </w:rPr>
        <w:t>3.7 Não poderão disputar esta licitação:</w:t>
      </w:r>
      <w:bookmarkEnd w:id="1"/>
    </w:p>
    <w:p w14:paraId="07CA597D">
      <w:pPr>
        <w:tabs>
          <w:tab w:val="left" w:pos="1440"/>
        </w:tabs>
        <w:autoSpaceDE w:val="0"/>
        <w:snapToGrid w:val="0"/>
        <w:spacing w:before="288" w:beforeLines="120" w:after="288" w:afterLines="120" w:line="288" w:lineRule="auto"/>
        <w:contextualSpacing/>
        <w:jc w:val="both"/>
        <w:rPr>
          <w:sz w:val="24"/>
          <w:szCs w:val="24"/>
        </w:rPr>
      </w:pPr>
      <w:bookmarkStart w:id="2" w:name="_Ref113883338"/>
      <w:r>
        <w:rPr>
          <w:sz w:val="24"/>
          <w:szCs w:val="24"/>
        </w:rPr>
        <w:t>3.7.1 aquele que não atenda às condições deste Edital e seu(s) anexo(s);</w:t>
      </w:r>
    </w:p>
    <w:p w14:paraId="78D7C1A3">
      <w:pPr>
        <w:pStyle w:val="103"/>
        <w:spacing w:before="288" w:beforeLines="120" w:after="288" w:afterLines="120" w:line="288" w:lineRule="auto"/>
        <w:ind w:left="0" w:firstLine="0"/>
        <w:contextualSpacing/>
        <w:rPr>
          <w:rFonts w:ascii="Times New Roman" w:hAnsi="Times New Roman" w:cs="Times New Roman"/>
          <w:color w:val="auto"/>
          <w:sz w:val="24"/>
          <w:szCs w:val="24"/>
        </w:rPr>
      </w:pPr>
      <w:bookmarkStart w:id="3" w:name="_Ref113883003"/>
      <w:bookmarkStart w:id="4" w:name="_Ref114659912"/>
      <w:r>
        <w:rPr>
          <w:rFonts w:ascii="Times New Roman" w:hAnsi="Times New Roman" w:cs="Times New Roman"/>
          <w:color w:val="auto"/>
          <w:sz w:val="24"/>
          <w:szCs w:val="24"/>
        </w:rPr>
        <w:t>3.</w:t>
      </w:r>
      <w:r>
        <w:rPr>
          <w:rFonts w:ascii="Times New Roman" w:hAnsi="Times New Roman" w:cs="Times New Roman"/>
          <w:sz w:val="24"/>
          <w:szCs w:val="24"/>
        </w:rPr>
        <w:t>7</w:t>
      </w:r>
      <w:r>
        <w:rPr>
          <w:rFonts w:ascii="Times New Roman" w:hAnsi="Times New Roman" w:cs="Times New Roman"/>
          <w:color w:val="auto"/>
          <w:sz w:val="24"/>
          <w:szCs w:val="24"/>
        </w:rPr>
        <w:t>.2 pessoa física ou jurídica que se encontre, ao tempo da licitação, impossibilitada de participar da licitação em decorrência de sanção que lhe foi imposta;</w:t>
      </w:r>
      <w:bookmarkEnd w:id="3"/>
    </w:p>
    <w:p w14:paraId="082C7105">
      <w:pPr>
        <w:pStyle w:val="103"/>
        <w:spacing w:before="288" w:beforeLines="120" w:after="288" w:afterLines="120" w:line="288" w:lineRule="auto"/>
        <w:ind w:left="0" w:firstLine="0"/>
        <w:contextualSpacing/>
        <w:rPr>
          <w:rFonts w:ascii="Times New Roman" w:hAnsi="Times New Roman" w:cs="Times New Roman"/>
          <w:color w:val="auto"/>
          <w:sz w:val="24"/>
          <w:szCs w:val="24"/>
        </w:rPr>
      </w:pPr>
    </w:p>
    <w:p w14:paraId="2BF88863">
      <w:pPr>
        <w:pStyle w:val="103"/>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3.7.3 autor do anteprojeto, do projeto básico ou do projeto executivo, pessoa física ou jurídica, quando a licitação versar sobre serviços ou fornecimento de bens a ele relacionados;</w:t>
      </w:r>
      <w:bookmarkEnd w:id="2"/>
      <w:bookmarkEnd w:id="4"/>
    </w:p>
    <w:p w14:paraId="789500F3">
      <w:pPr>
        <w:pStyle w:val="103"/>
        <w:spacing w:before="288" w:beforeLines="120" w:after="288" w:afterLines="120" w:line="288" w:lineRule="auto"/>
        <w:ind w:left="0" w:firstLine="0"/>
        <w:contextualSpacing/>
        <w:rPr>
          <w:rFonts w:ascii="Times New Roman" w:hAnsi="Times New Roman" w:cs="Times New Roman"/>
          <w:color w:val="auto"/>
          <w:sz w:val="24"/>
          <w:szCs w:val="24"/>
        </w:rPr>
      </w:pPr>
      <w:bookmarkStart w:id="5" w:name="_Ref114659913"/>
      <w:bookmarkStart w:id="6" w:name="_Ref113883339"/>
    </w:p>
    <w:p w14:paraId="075252F5">
      <w:pPr>
        <w:pStyle w:val="103"/>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3.7.4 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5"/>
      <w:r>
        <w:rPr>
          <w:rFonts w:ascii="Times New Roman" w:hAnsi="Times New Roman" w:cs="Times New Roman"/>
          <w:color w:val="auto"/>
          <w:sz w:val="24"/>
          <w:szCs w:val="24"/>
        </w:rPr>
        <w:t xml:space="preserve"> </w:t>
      </w:r>
      <w:bookmarkEnd w:id="6"/>
    </w:p>
    <w:p w14:paraId="7C452B09">
      <w:pPr>
        <w:pStyle w:val="103"/>
        <w:spacing w:before="288" w:beforeLines="120" w:after="288" w:afterLines="120" w:line="288" w:lineRule="auto"/>
        <w:ind w:left="0" w:firstLine="0"/>
        <w:contextualSpacing/>
        <w:rPr>
          <w:rFonts w:ascii="Times New Roman" w:hAnsi="Times New Roman" w:cs="Times New Roman"/>
          <w:color w:val="auto"/>
          <w:sz w:val="24"/>
          <w:szCs w:val="24"/>
        </w:rPr>
      </w:pPr>
    </w:p>
    <w:p w14:paraId="0490F4A8">
      <w:pPr>
        <w:pStyle w:val="103"/>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3.7.5 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48067239">
      <w:pPr>
        <w:pStyle w:val="103"/>
        <w:spacing w:before="288" w:beforeLines="120" w:after="288" w:afterLines="120" w:line="288" w:lineRule="auto"/>
        <w:ind w:left="0" w:firstLine="0"/>
        <w:contextualSpacing/>
        <w:rPr>
          <w:rFonts w:ascii="Times New Roman" w:hAnsi="Times New Roman" w:cs="Times New Roman"/>
          <w:color w:val="auto"/>
          <w:sz w:val="24"/>
          <w:szCs w:val="24"/>
        </w:rPr>
      </w:pPr>
      <w:bookmarkStart w:id="7" w:name="_Ref113883579"/>
    </w:p>
    <w:p w14:paraId="3A58E074">
      <w:pPr>
        <w:pStyle w:val="103"/>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3.7.6 empresas controladoras, controladas ou coligadas, nos termos da Lei nº 6.404, de 15 de dezembro de 1976, concorrendo entre si;</w:t>
      </w:r>
      <w:bookmarkEnd w:id="7"/>
    </w:p>
    <w:p w14:paraId="7EA7A39E">
      <w:pPr>
        <w:pStyle w:val="103"/>
        <w:spacing w:before="288" w:beforeLines="120" w:after="288" w:afterLines="120" w:line="288" w:lineRule="auto"/>
        <w:ind w:left="0" w:firstLine="0"/>
        <w:contextualSpacing/>
        <w:rPr>
          <w:rFonts w:ascii="Times New Roman" w:hAnsi="Times New Roman" w:cs="Times New Roman"/>
          <w:color w:val="auto"/>
          <w:sz w:val="24"/>
          <w:szCs w:val="24"/>
        </w:rPr>
      </w:pPr>
    </w:p>
    <w:p w14:paraId="003CF0AB">
      <w:pPr>
        <w:pStyle w:val="103"/>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3.7.7 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3CE984CC">
      <w:pPr>
        <w:pStyle w:val="103"/>
        <w:spacing w:before="288" w:beforeLines="120" w:after="288" w:afterLines="120" w:line="288" w:lineRule="auto"/>
        <w:ind w:left="0" w:firstLine="0"/>
        <w:contextualSpacing/>
        <w:rPr>
          <w:rFonts w:ascii="Times New Roman" w:hAnsi="Times New Roman" w:cs="Times New Roman"/>
          <w:color w:val="auto"/>
          <w:sz w:val="24"/>
          <w:szCs w:val="24"/>
        </w:rPr>
      </w:pPr>
      <w:bookmarkStart w:id="8" w:name="_Ref113962336"/>
    </w:p>
    <w:p w14:paraId="6598542F">
      <w:pPr>
        <w:pStyle w:val="103"/>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3.7.8 agente público do órgão ou entidade licitante, na qualidade de pessoa física ou de representante de pessoa jurídica;</w:t>
      </w:r>
      <w:bookmarkEnd w:id="8"/>
    </w:p>
    <w:p w14:paraId="1FE281A4">
      <w:pPr>
        <w:pStyle w:val="103"/>
        <w:spacing w:before="288" w:beforeLines="120" w:after="288" w:afterLines="120" w:line="288" w:lineRule="auto"/>
        <w:ind w:left="0" w:firstLine="0"/>
        <w:contextualSpacing/>
        <w:rPr>
          <w:rFonts w:ascii="Times New Roman" w:hAnsi="Times New Roman" w:cs="Times New Roman"/>
          <w:color w:val="auto"/>
          <w:sz w:val="24"/>
          <w:szCs w:val="24"/>
        </w:rPr>
      </w:pPr>
    </w:p>
    <w:p w14:paraId="4F944000">
      <w:pPr>
        <w:pStyle w:val="103"/>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 xml:space="preserve">3.7.9 </w:t>
      </w:r>
      <w:r>
        <w:rPr>
          <w:rFonts w:ascii="Times New Roman" w:hAnsi="Times New Roman" w:cs="Times New Roman"/>
          <w:sz w:val="24"/>
          <w:szCs w:val="24"/>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r>
        <w:fldChar w:fldCharType="begin"/>
      </w:r>
      <w:r>
        <w:instrText xml:space="preserve"> HYPERLINK "http://www.planalto.gov.br/ccivil_03/_ato2019-2022/2021/lei/L14133.htm" \l "art9§1" </w:instrText>
      </w:r>
      <w:r>
        <w:fldChar w:fldCharType="separate"/>
      </w:r>
      <w:r>
        <w:rPr>
          <w:rStyle w:val="16"/>
          <w:rFonts w:ascii="Times New Roman" w:hAnsi="Times New Roman" w:cs="Times New Roman" w:eastAsiaTheme="minorHAnsi"/>
          <w:color w:val="auto"/>
          <w:sz w:val="24"/>
          <w:szCs w:val="24"/>
        </w:rPr>
        <w:t>§ 1º do art. 9º da Lei nº 14.133/2021</w:t>
      </w:r>
      <w:r>
        <w:rPr>
          <w:rStyle w:val="16"/>
          <w:rFonts w:ascii="Times New Roman" w:hAnsi="Times New Roman" w:cs="Times New Roman" w:eastAsiaTheme="minorHAnsi"/>
          <w:color w:val="auto"/>
          <w:sz w:val="24"/>
          <w:szCs w:val="24"/>
        </w:rPr>
        <w:fldChar w:fldCharType="end"/>
      </w:r>
      <w:r>
        <w:rPr>
          <w:rFonts w:ascii="Times New Roman" w:hAnsi="Times New Roman" w:cs="Times New Roman"/>
          <w:color w:val="auto"/>
          <w:sz w:val="24"/>
          <w:szCs w:val="24"/>
        </w:rPr>
        <w:t>;</w:t>
      </w:r>
    </w:p>
    <w:p w14:paraId="05682E86">
      <w:pPr>
        <w:pStyle w:val="103"/>
        <w:spacing w:before="288" w:beforeLines="120" w:after="288" w:afterLines="120" w:line="288" w:lineRule="auto"/>
        <w:ind w:left="567" w:right="565" w:firstLine="0"/>
        <w:contextualSpacing/>
        <w:rPr>
          <w:rFonts w:ascii="Times New Roman" w:hAnsi="Times New Roman" w:cs="Times New Roman"/>
          <w:color w:val="FF0000"/>
          <w:sz w:val="24"/>
          <w:szCs w:val="24"/>
        </w:rPr>
      </w:pPr>
      <w:bookmarkStart w:id="9" w:name="_Hlk154223269"/>
    </w:p>
    <w:bookmarkEnd w:id="9"/>
    <w:p w14:paraId="08CD7B16">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color w:val="auto"/>
          <w:sz w:val="24"/>
          <w:szCs w:val="24"/>
        </w:rPr>
        <w:t xml:space="preserve">3.8 </w:t>
      </w:r>
      <w:r>
        <w:rPr>
          <w:rFonts w:ascii="Times New Roman" w:hAnsi="Times New Roman" w:cs="Times New Roman"/>
          <w:sz w:val="24"/>
          <w:szCs w:val="24"/>
        </w:rPr>
        <w:t>O impedimento de que trata o item 3.7.2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4DF7BB81">
      <w:pPr>
        <w:pStyle w:val="99"/>
        <w:spacing w:before="288" w:beforeLines="120" w:after="288" w:afterLines="120" w:line="288" w:lineRule="auto"/>
        <w:ind w:left="0" w:firstLine="0"/>
        <w:contextualSpacing/>
        <w:rPr>
          <w:rFonts w:ascii="Times New Roman" w:hAnsi="Times New Roman" w:cs="Times New Roman"/>
          <w:color w:val="auto"/>
          <w:sz w:val="24"/>
          <w:szCs w:val="24"/>
        </w:rPr>
      </w:pPr>
      <w:bookmarkStart w:id="10" w:name="art14§2"/>
      <w:bookmarkEnd w:id="10"/>
    </w:p>
    <w:p w14:paraId="33E12CC4">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3.9 A critério da Administração e exclusivamente a seu serviço, o autor dos projetos e a empresa a que se referem os itens 3.7.3 e 3.7.4 poderão participar no apoio das atividades de planejamento da contratação, de execução da licitação ou de gestão do contrato, desde que sob supervisão exclusiva de agentes públicos do órgão ou entidade.</w:t>
      </w:r>
    </w:p>
    <w:p w14:paraId="607F1A11">
      <w:pPr>
        <w:pStyle w:val="99"/>
        <w:spacing w:before="288" w:beforeLines="120" w:after="288" w:afterLines="120" w:line="288" w:lineRule="auto"/>
        <w:ind w:left="0" w:firstLine="0"/>
        <w:contextualSpacing/>
        <w:rPr>
          <w:rFonts w:ascii="Times New Roman" w:hAnsi="Times New Roman" w:cs="Times New Roman"/>
          <w:color w:val="auto"/>
          <w:sz w:val="24"/>
          <w:szCs w:val="24"/>
        </w:rPr>
      </w:pPr>
      <w:bookmarkStart w:id="11" w:name="art14§3"/>
      <w:bookmarkEnd w:id="11"/>
    </w:p>
    <w:p w14:paraId="0717E73B">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3.9.1 Equiparam-se aos autores do projeto as empresas integrantes do mesmo grupo econômico.</w:t>
      </w:r>
    </w:p>
    <w:p w14:paraId="3B0E68DF">
      <w:pPr>
        <w:pStyle w:val="99"/>
        <w:spacing w:before="288" w:beforeLines="120" w:after="288" w:afterLines="120" w:line="288" w:lineRule="auto"/>
        <w:ind w:left="0" w:firstLine="0"/>
        <w:contextualSpacing/>
        <w:rPr>
          <w:rFonts w:ascii="Times New Roman" w:hAnsi="Times New Roman" w:cs="Times New Roman"/>
          <w:color w:val="auto"/>
          <w:sz w:val="24"/>
          <w:szCs w:val="24"/>
        </w:rPr>
      </w:pPr>
      <w:bookmarkStart w:id="12" w:name="art14§4"/>
      <w:bookmarkEnd w:id="12"/>
    </w:p>
    <w:p w14:paraId="32DA13D2">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3.9.2 O disposto nos itens 3.7.3 e 3.7.4 não impede a licitação ou a contratação de serviço que inclua como encargo do contratado a elaboração do projeto básico e do projeto executivo, nas contratações integradas, e do projeto executivo, nos demais regimes de execução.</w:t>
      </w:r>
    </w:p>
    <w:p w14:paraId="73372CD6">
      <w:pPr>
        <w:pStyle w:val="99"/>
        <w:spacing w:before="288" w:beforeLines="120" w:after="288" w:afterLines="120" w:line="288" w:lineRule="auto"/>
        <w:ind w:left="0" w:firstLine="0"/>
        <w:contextualSpacing/>
        <w:rPr>
          <w:rFonts w:ascii="Times New Roman" w:hAnsi="Times New Roman" w:cs="Times New Roman"/>
          <w:color w:val="auto"/>
          <w:sz w:val="24"/>
          <w:szCs w:val="24"/>
        </w:rPr>
      </w:pPr>
      <w:bookmarkStart w:id="13" w:name="art14§5"/>
      <w:bookmarkEnd w:id="13"/>
    </w:p>
    <w:p w14:paraId="26C00DDF">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3.10 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r>
        <w:fldChar w:fldCharType="begin"/>
      </w:r>
      <w:r>
        <w:instrText xml:space="preserve"> HYPERLINK "http://www.planalto.gov.br/ccivil_03/_ato2019-2022/2021/lei/L14133.htm" </w:instrText>
      </w:r>
      <w:r>
        <w:fldChar w:fldCharType="separate"/>
      </w:r>
      <w:r>
        <w:rPr>
          <w:rStyle w:val="16"/>
          <w:rFonts w:ascii="Times New Roman" w:hAnsi="Times New Roman" w:cs="Times New Roman" w:eastAsiaTheme="minorHAnsi"/>
          <w:color w:val="auto"/>
          <w:sz w:val="24"/>
          <w:szCs w:val="24"/>
        </w:rPr>
        <w:t>Lei nº 14.133/2021</w:t>
      </w:r>
      <w:r>
        <w:rPr>
          <w:rStyle w:val="16"/>
          <w:rFonts w:ascii="Times New Roman" w:hAnsi="Times New Roman" w:cs="Times New Roman" w:eastAsiaTheme="minorHAnsi"/>
          <w:color w:val="auto"/>
          <w:sz w:val="24"/>
          <w:szCs w:val="24"/>
        </w:rPr>
        <w:fldChar w:fldCharType="end"/>
      </w:r>
      <w:r>
        <w:rPr>
          <w:rFonts w:ascii="Times New Roman" w:hAnsi="Times New Roman" w:cs="Times New Roman"/>
          <w:sz w:val="24"/>
          <w:szCs w:val="24"/>
        </w:rPr>
        <w:t>.</w:t>
      </w:r>
    </w:p>
    <w:p w14:paraId="30E0EEDE">
      <w:pPr>
        <w:pStyle w:val="99"/>
        <w:spacing w:before="288" w:beforeLines="120" w:after="288" w:afterLines="120" w:line="288" w:lineRule="auto"/>
        <w:ind w:left="0" w:firstLine="0"/>
        <w:contextualSpacing/>
        <w:rPr>
          <w:rFonts w:ascii="Times New Roman" w:hAnsi="Times New Roman" w:eastAsia="Calibri" w:cs="Times New Roman"/>
          <w:sz w:val="24"/>
          <w:szCs w:val="24"/>
          <w:lang w:eastAsia="en-US"/>
        </w:rPr>
      </w:pPr>
    </w:p>
    <w:p w14:paraId="40387FBC">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3.11 A vedação de que trata o item </w:t>
      </w:r>
      <w:r>
        <w:rPr>
          <w:rFonts w:ascii="Times New Roman" w:hAnsi="Times New Roman" w:cs="Times New Roman"/>
          <w:color w:val="auto"/>
          <w:sz w:val="24"/>
          <w:szCs w:val="24"/>
        </w:rPr>
        <w:t xml:space="preserve">3.7.8 </w:t>
      </w:r>
      <w:r>
        <w:rPr>
          <w:rFonts w:ascii="Times New Roman" w:hAnsi="Times New Roman" w:cs="Times New Roman"/>
          <w:sz w:val="24"/>
          <w:szCs w:val="24"/>
        </w:rPr>
        <w:t>estende-se a terceiro que auxilie a condução da contratação na qualidade de integrante de equipe de apoio, profissional especializado ou funcionário ou representante de empresa que preste assessoria técnica.</w:t>
      </w:r>
    </w:p>
    <w:p w14:paraId="528914E8">
      <w:pPr>
        <w:pStyle w:val="99"/>
        <w:spacing w:before="288" w:beforeLines="120" w:after="288" w:afterLines="120" w:line="288" w:lineRule="auto"/>
        <w:ind w:left="0" w:firstLine="0"/>
        <w:contextualSpacing/>
        <w:rPr>
          <w:rFonts w:ascii="Times New Roman" w:hAnsi="Times New Roman" w:cs="Times New Roman"/>
          <w:sz w:val="24"/>
          <w:szCs w:val="24"/>
        </w:rPr>
      </w:pPr>
    </w:p>
    <w:p w14:paraId="6FF3D84D">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3.12 Será permitida a participação de pessoas jurídicas reunidas em consórcio, observadas as seguintes regras:</w:t>
      </w:r>
    </w:p>
    <w:p w14:paraId="78BE01DF">
      <w:pPr>
        <w:pStyle w:val="99"/>
        <w:spacing w:before="288" w:beforeLines="120" w:after="288" w:afterLines="120" w:line="288" w:lineRule="auto"/>
        <w:ind w:left="0" w:firstLine="0"/>
        <w:contextualSpacing/>
        <w:rPr>
          <w:rFonts w:ascii="Times New Roman" w:hAnsi="Times New Roman" w:cs="Times New Roman"/>
          <w:sz w:val="24"/>
          <w:szCs w:val="24"/>
        </w:rPr>
      </w:pPr>
    </w:p>
    <w:p w14:paraId="2C5ACA9D">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3.12.1 as empresas consorciadas apresentarão compromisso público ou particular de constituição do consórcio, subscrito por todas, onde deverá estar indicada a empresa líder como responsável principal perante o órgão licitante pelos atos praticados pelo consórcio, devendo constar expressamente do instrumento os poderes específicos para requerer, assumir compromissos, transigir, discordar, desistir, renunciar, receber e dar quitação, como também receber citação em Juízo;</w:t>
      </w:r>
    </w:p>
    <w:p w14:paraId="321BB397">
      <w:pPr>
        <w:tabs>
          <w:tab w:val="left" w:pos="1440"/>
        </w:tabs>
        <w:autoSpaceDE w:val="0"/>
        <w:snapToGrid w:val="0"/>
        <w:spacing w:before="288" w:beforeLines="120" w:after="288" w:afterLines="120" w:line="288" w:lineRule="auto"/>
        <w:contextualSpacing/>
        <w:jc w:val="both"/>
        <w:rPr>
          <w:sz w:val="24"/>
          <w:szCs w:val="24"/>
        </w:rPr>
      </w:pPr>
      <w:r>
        <w:rPr>
          <w:sz w:val="24"/>
          <w:szCs w:val="24"/>
        </w:rPr>
        <w:t>3.12.2 impedimento de a empresa consorciada participar, na mesma licitação, de mais de um consórcio ou de forma isolada;</w:t>
      </w:r>
    </w:p>
    <w:p w14:paraId="6BC5776D">
      <w:pPr>
        <w:tabs>
          <w:tab w:val="left" w:pos="1440"/>
        </w:tabs>
        <w:autoSpaceDE w:val="0"/>
        <w:snapToGrid w:val="0"/>
        <w:spacing w:before="288" w:beforeLines="120" w:after="288" w:afterLines="120" w:line="288" w:lineRule="auto"/>
        <w:contextualSpacing/>
        <w:jc w:val="both"/>
        <w:rPr>
          <w:sz w:val="24"/>
          <w:szCs w:val="24"/>
        </w:rPr>
      </w:pPr>
    </w:p>
    <w:p w14:paraId="11838D0F">
      <w:pPr>
        <w:tabs>
          <w:tab w:val="left" w:pos="1440"/>
        </w:tabs>
        <w:autoSpaceDE w:val="0"/>
        <w:snapToGrid w:val="0"/>
        <w:spacing w:before="288" w:beforeLines="120" w:after="288" w:afterLines="120" w:line="288" w:lineRule="auto"/>
        <w:contextualSpacing/>
        <w:jc w:val="both"/>
        <w:rPr>
          <w:sz w:val="24"/>
          <w:szCs w:val="24"/>
        </w:rPr>
      </w:pPr>
      <w:r>
        <w:rPr>
          <w:sz w:val="24"/>
          <w:szCs w:val="24"/>
        </w:rPr>
        <w:t>3.12.3 o consórcio vencedor, quando for o caso, ficará obrigado a promover a sua constituição e registro antes da celebração do Contrato, nos termos do compromisso firmado conforme item 3.12.1;</w:t>
      </w:r>
    </w:p>
    <w:p w14:paraId="7EC720AF">
      <w:pPr>
        <w:tabs>
          <w:tab w:val="left" w:pos="1440"/>
        </w:tabs>
        <w:autoSpaceDE w:val="0"/>
        <w:snapToGrid w:val="0"/>
        <w:spacing w:before="288" w:beforeLines="120" w:after="288" w:afterLines="120" w:line="288" w:lineRule="auto"/>
        <w:contextualSpacing/>
        <w:jc w:val="both"/>
        <w:rPr>
          <w:sz w:val="24"/>
          <w:szCs w:val="24"/>
        </w:rPr>
      </w:pPr>
    </w:p>
    <w:p w14:paraId="383DC82B">
      <w:pPr>
        <w:tabs>
          <w:tab w:val="left" w:pos="1440"/>
        </w:tabs>
        <w:autoSpaceDE w:val="0"/>
        <w:snapToGrid w:val="0"/>
        <w:spacing w:before="288" w:beforeLines="120" w:after="288" w:afterLines="120" w:line="288" w:lineRule="auto"/>
        <w:contextualSpacing/>
        <w:jc w:val="both"/>
        <w:rPr>
          <w:sz w:val="24"/>
          <w:szCs w:val="24"/>
        </w:rPr>
      </w:pPr>
      <w:r>
        <w:rPr>
          <w:sz w:val="24"/>
          <w:szCs w:val="24"/>
        </w:rPr>
        <w:t>3.12.4 as empresas consorciadas responderão solidariamente pelos atos praticados em consórcio, tanto na fase da licitação quanto na da execução do Contrato;</w:t>
      </w:r>
    </w:p>
    <w:p w14:paraId="3534F75B">
      <w:pPr>
        <w:tabs>
          <w:tab w:val="left" w:pos="1440"/>
        </w:tabs>
        <w:autoSpaceDE w:val="0"/>
        <w:snapToGrid w:val="0"/>
        <w:spacing w:before="288" w:beforeLines="120" w:after="288" w:afterLines="120" w:line="288" w:lineRule="auto"/>
        <w:contextualSpacing/>
        <w:jc w:val="both"/>
        <w:rPr>
          <w:sz w:val="24"/>
          <w:szCs w:val="24"/>
        </w:rPr>
      </w:pPr>
    </w:p>
    <w:p w14:paraId="4C0240D0">
      <w:pPr>
        <w:tabs>
          <w:tab w:val="left" w:pos="1440"/>
        </w:tabs>
        <w:autoSpaceDE w:val="0"/>
        <w:snapToGrid w:val="0"/>
        <w:spacing w:before="288" w:beforeLines="120" w:after="288" w:afterLines="120" w:line="288" w:lineRule="auto"/>
        <w:contextualSpacing/>
        <w:jc w:val="both"/>
        <w:rPr>
          <w:sz w:val="24"/>
          <w:szCs w:val="24"/>
        </w:rPr>
      </w:pPr>
      <w:r>
        <w:rPr>
          <w:sz w:val="24"/>
          <w:szCs w:val="24"/>
        </w:rPr>
        <w:t>3.12.5 a substituição de consorciado deverá ser expressamente autorizada pelo órgão ou entidade contratante e condicionada à comprovação de que a nova empresa do consórcio possui, no mínimo, os mesmos quantitativos para efeito de habilitação técnica e os mesmos valores para efeito de qualificação econômico-financeira apresentados pela empresa substituída para fins de habilitação do consórcio no processo licitatório que originou o contrato.</w:t>
      </w:r>
    </w:p>
    <w:p w14:paraId="0D7D54D7">
      <w:pPr>
        <w:pStyle w:val="97"/>
        <w:spacing w:before="0" w:beforeAutospacing="0" w:after="0" w:afterAutospacing="0" w:line="288" w:lineRule="auto"/>
        <w:contextualSpacing/>
        <w:jc w:val="both"/>
        <w:rPr>
          <w:rFonts w:eastAsia="Calibri"/>
          <w:b/>
          <w:bCs/>
          <w:lang w:eastAsia="en-US"/>
        </w:rPr>
      </w:pPr>
      <w:r>
        <w:rPr>
          <w:rFonts w:eastAsia="Calibri"/>
          <w:b/>
          <w:bCs/>
          <w:lang w:eastAsia="en-US"/>
        </w:rPr>
        <w:t>4. DAS DECLARAÇÕES E DA APRESENTAÇÃO DA PROPOSTA</w:t>
      </w:r>
    </w:p>
    <w:p w14:paraId="1C2C7774">
      <w:pPr>
        <w:pStyle w:val="99"/>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4.1 Na presente licitação, a fase de habilitação será realizada após as fases de apresentação de propostas e lances e de julgamento.</w:t>
      </w:r>
    </w:p>
    <w:p w14:paraId="70EF4B38">
      <w:pPr>
        <w:pStyle w:val="99"/>
        <w:spacing w:before="288" w:beforeLines="120" w:after="288" w:afterLines="120" w:line="288" w:lineRule="auto"/>
        <w:ind w:left="0" w:firstLine="0"/>
        <w:contextualSpacing/>
        <w:rPr>
          <w:rFonts w:ascii="Times New Roman" w:hAnsi="Times New Roman" w:cs="Times New Roman"/>
          <w:color w:val="auto"/>
          <w:sz w:val="24"/>
          <w:szCs w:val="24"/>
        </w:rPr>
      </w:pPr>
      <w:bookmarkStart w:id="14" w:name="_Ref113886867"/>
    </w:p>
    <w:p w14:paraId="27259862">
      <w:pPr>
        <w:pStyle w:val="99"/>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4.2 Os licitantes encaminharão, exclusivamente por meio do sistema eletrônico, a proposta com o preço ou o percentual de desconto, conforme o critério de julgamento adotado neste Edital, até a data e o horário estabelecidos para abertura da sessão pública.</w:t>
      </w:r>
      <w:bookmarkEnd w:id="14"/>
      <w:bookmarkStart w:id="15" w:name="_Ref113968921"/>
    </w:p>
    <w:p w14:paraId="6853B6F3">
      <w:pPr>
        <w:pStyle w:val="99"/>
        <w:spacing w:before="288" w:beforeLines="120" w:after="288" w:afterLines="120" w:line="288" w:lineRule="auto"/>
        <w:ind w:left="0" w:firstLine="0"/>
        <w:contextualSpacing/>
        <w:rPr>
          <w:rFonts w:ascii="Times New Roman" w:hAnsi="Times New Roman" w:cs="Times New Roman"/>
          <w:color w:val="auto"/>
          <w:sz w:val="24"/>
          <w:szCs w:val="24"/>
        </w:rPr>
      </w:pPr>
    </w:p>
    <w:p w14:paraId="6E9E6FD3">
      <w:pPr>
        <w:pStyle w:val="99"/>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4.3 No cadastramento da proposta inicial, o licitante declarará, em campo próprio do sistema, que:</w:t>
      </w:r>
      <w:bookmarkEnd w:id="15"/>
    </w:p>
    <w:p w14:paraId="4F34F2E7">
      <w:pPr>
        <w:pStyle w:val="103"/>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4.3.1 está ciente e concorda com as condições contidas no Edital e seus anexos</w:t>
      </w:r>
      <w:bookmarkStart w:id="16" w:name="_Hlk154224613"/>
      <w:r>
        <w:rPr>
          <w:rFonts w:ascii="Times New Roman" w:hAnsi="Times New Roman" w:cs="Times New Roman"/>
          <w:color w:val="auto"/>
          <w:sz w:val="24"/>
          <w:szCs w:val="24"/>
        </w:rPr>
        <w:t>,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bookmarkEnd w:id="16"/>
    <w:p w14:paraId="3D576E7F">
      <w:pPr>
        <w:pStyle w:val="103"/>
        <w:spacing w:before="288" w:beforeLines="120" w:after="288" w:afterLines="120" w:line="288" w:lineRule="auto"/>
        <w:ind w:left="0" w:firstLine="0"/>
        <w:contextualSpacing/>
        <w:rPr>
          <w:rFonts w:ascii="Times New Roman" w:hAnsi="Times New Roman" w:cs="Times New Roman"/>
          <w:color w:val="auto"/>
          <w:sz w:val="24"/>
          <w:szCs w:val="24"/>
        </w:rPr>
      </w:pPr>
    </w:p>
    <w:p w14:paraId="5E36CB29">
      <w:pPr>
        <w:pStyle w:val="103"/>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 xml:space="preserve">4.3.2 não emprega menor de 18 anos em trabalho noturno, perigoso ou insalubre e não emprega menor de 16 anos, salvo menor, a partir de 14 anos, na condição de aprendiz, nos termos do </w:t>
      </w:r>
      <w:r>
        <w:fldChar w:fldCharType="begin"/>
      </w:r>
      <w:r>
        <w:instrText xml:space="preserve"> HYPERLINK "https://www.planalto.gov.br/ccivil_03/constituicao/constituicaocompilado.htm" \l "art7" </w:instrText>
      </w:r>
      <w:r>
        <w:fldChar w:fldCharType="separate"/>
      </w:r>
      <w:r>
        <w:rPr>
          <w:rStyle w:val="16"/>
          <w:rFonts w:ascii="Times New Roman" w:hAnsi="Times New Roman" w:cs="Times New Roman" w:eastAsiaTheme="minorHAnsi"/>
          <w:color w:val="auto"/>
          <w:sz w:val="24"/>
          <w:szCs w:val="24"/>
        </w:rPr>
        <w:t>art. 7°, XXXIII, da Constituição</w:t>
      </w:r>
      <w:r>
        <w:rPr>
          <w:rStyle w:val="16"/>
          <w:rFonts w:ascii="Times New Roman" w:hAnsi="Times New Roman" w:cs="Times New Roman" w:eastAsiaTheme="minorHAnsi"/>
          <w:color w:val="auto"/>
          <w:sz w:val="24"/>
          <w:szCs w:val="24"/>
        </w:rPr>
        <w:fldChar w:fldCharType="end"/>
      </w:r>
      <w:r>
        <w:rPr>
          <w:rFonts w:ascii="Times New Roman" w:hAnsi="Times New Roman" w:cs="Times New Roman"/>
          <w:color w:val="auto"/>
          <w:sz w:val="24"/>
          <w:szCs w:val="24"/>
        </w:rPr>
        <w:t>;</w:t>
      </w:r>
    </w:p>
    <w:p w14:paraId="771CD99B">
      <w:pPr>
        <w:pStyle w:val="103"/>
        <w:spacing w:before="288" w:beforeLines="120" w:after="288" w:afterLines="120" w:line="288" w:lineRule="auto"/>
        <w:ind w:left="0" w:firstLine="0"/>
        <w:contextualSpacing/>
        <w:rPr>
          <w:rFonts w:ascii="Times New Roman" w:hAnsi="Times New Roman" w:cs="Times New Roman"/>
          <w:sz w:val="24"/>
          <w:szCs w:val="24"/>
        </w:rPr>
      </w:pPr>
      <w:bookmarkStart w:id="17" w:name="_Hlk154224321"/>
    </w:p>
    <w:p w14:paraId="28D4F6DC">
      <w:pPr>
        <w:pStyle w:val="10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4.3.3 não possui empregados executando trabalho degradante ou forçado, observando o disposto nos </w:t>
      </w:r>
      <w:r>
        <w:fldChar w:fldCharType="begin"/>
      </w:r>
      <w:r>
        <w:instrText xml:space="preserve"> HYPERLINK "https://www.planalto.gov.br/ccivil_03/constituicao/constituicaocompilado.htm" </w:instrText>
      </w:r>
      <w:r>
        <w:fldChar w:fldCharType="separate"/>
      </w:r>
      <w:r>
        <w:rPr>
          <w:rStyle w:val="16"/>
          <w:rFonts w:ascii="Times New Roman" w:hAnsi="Times New Roman" w:cs="Times New Roman" w:eastAsiaTheme="minorHAnsi"/>
          <w:color w:val="auto"/>
          <w:sz w:val="24"/>
          <w:szCs w:val="24"/>
        </w:rPr>
        <w:t>incisos III e IV do art. 1º e no inciso III do art. 5º da Constituição Federal</w:t>
      </w:r>
      <w:r>
        <w:rPr>
          <w:rStyle w:val="16"/>
          <w:rFonts w:ascii="Times New Roman" w:hAnsi="Times New Roman" w:cs="Times New Roman" w:eastAsiaTheme="minorHAnsi"/>
          <w:color w:val="auto"/>
          <w:sz w:val="24"/>
          <w:szCs w:val="24"/>
        </w:rPr>
        <w:fldChar w:fldCharType="end"/>
      </w:r>
      <w:r>
        <w:rPr>
          <w:rFonts w:ascii="Times New Roman" w:hAnsi="Times New Roman" w:cs="Times New Roman"/>
          <w:sz w:val="24"/>
          <w:szCs w:val="24"/>
        </w:rPr>
        <w:t>;</w:t>
      </w:r>
    </w:p>
    <w:bookmarkEnd w:id="17"/>
    <w:p w14:paraId="0D0F30F7">
      <w:pPr>
        <w:pStyle w:val="103"/>
        <w:spacing w:before="288" w:beforeLines="120" w:after="288" w:afterLines="120" w:line="288" w:lineRule="auto"/>
        <w:ind w:left="0" w:firstLine="0"/>
        <w:contextualSpacing/>
        <w:rPr>
          <w:rFonts w:ascii="Times New Roman" w:hAnsi="Times New Roman" w:cs="Times New Roman"/>
          <w:color w:val="auto"/>
          <w:sz w:val="24"/>
          <w:szCs w:val="24"/>
        </w:rPr>
      </w:pPr>
    </w:p>
    <w:p w14:paraId="1AD61B72">
      <w:pPr>
        <w:pStyle w:val="103"/>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4.3.4 cumpre as exigências de reserva de cargos para pessoa com deficiência e para reabilitado da Previdência Social, previstas em lei e em outras normas específicas;</w:t>
      </w:r>
    </w:p>
    <w:p w14:paraId="22E7A23B">
      <w:pPr>
        <w:pStyle w:val="103"/>
        <w:spacing w:before="288" w:beforeLines="120" w:after="288" w:afterLines="120" w:line="288" w:lineRule="auto"/>
        <w:ind w:left="0" w:firstLine="0"/>
        <w:contextualSpacing/>
        <w:rPr>
          <w:rFonts w:ascii="Times New Roman" w:hAnsi="Times New Roman" w:cs="Times New Roman"/>
          <w:color w:val="auto"/>
          <w:sz w:val="24"/>
          <w:szCs w:val="24"/>
        </w:rPr>
      </w:pPr>
    </w:p>
    <w:p w14:paraId="2B4785A8">
      <w:pPr>
        <w:pStyle w:val="103"/>
        <w:spacing w:before="288" w:beforeLines="120" w:after="288" w:afterLines="120" w:line="288" w:lineRule="auto"/>
        <w:ind w:left="0" w:firstLine="0"/>
        <w:contextualSpacing/>
        <w:rPr>
          <w:rFonts w:ascii="Times New Roman" w:hAnsi="Times New Roman" w:cs="Times New Roman"/>
          <w:color w:val="auto"/>
          <w:sz w:val="24"/>
          <w:szCs w:val="24"/>
        </w:rPr>
      </w:pPr>
      <w:bookmarkStart w:id="18" w:name="_Hlk154224365"/>
      <w:r>
        <w:rPr>
          <w:rFonts w:ascii="Times New Roman" w:hAnsi="Times New Roman" w:cs="Times New Roman"/>
          <w:color w:val="auto"/>
          <w:sz w:val="24"/>
          <w:szCs w:val="24"/>
        </w:rPr>
        <w:t>4.3.5 está ciente da obrigação de cumprimento de cota de aprendiz, na forma dos artigos 429 e seguintes da Consolidação das Leis do Trabalho, e da necessidade de comprovar o cumprimento dessa exigência, por meio de certidão, no momento de assinatura do contrato;</w:t>
      </w:r>
    </w:p>
    <w:bookmarkEnd w:id="18"/>
    <w:p w14:paraId="71DF37CC">
      <w:pPr>
        <w:pStyle w:val="103"/>
        <w:spacing w:before="288" w:beforeLines="120" w:after="288" w:afterLines="120" w:line="288" w:lineRule="auto"/>
        <w:ind w:left="0" w:firstLine="0"/>
        <w:contextualSpacing/>
        <w:rPr>
          <w:rFonts w:ascii="Times New Roman" w:hAnsi="Times New Roman" w:cs="Times New Roman"/>
          <w:color w:val="auto"/>
          <w:sz w:val="24"/>
          <w:szCs w:val="24"/>
        </w:rPr>
      </w:pPr>
      <w:bookmarkStart w:id="19" w:name="_Hlk154224840"/>
    </w:p>
    <w:p w14:paraId="1B6C8F0A">
      <w:pPr>
        <w:pStyle w:val="103"/>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4.3.6 não foram aplicadas penalidades de suspensão temporária da participação em licitação, impedimento de contratar ou declaração de inidoneidade para licitar e contratar cujos efeitos ainda vigorem e sejam aplicáveis no âmbito do Município de Valença RJ.</w:t>
      </w:r>
    </w:p>
    <w:bookmarkEnd w:id="19"/>
    <w:p w14:paraId="2EB824E9">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4.4 O licitante organizado em cooperativa deverá declarar, ainda, em campo próprio do sistema eletrônico, que cumpre os requisitos estabelecidos no </w:t>
      </w:r>
      <w:r>
        <w:fldChar w:fldCharType="begin"/>
      </w:r>
      <w:r>
        <w:instrText xml:space="preserve"> HYPERLINK "http://www.planalto.gov.br/ccivil_03/_ato2019-2022/2021/lei/L14133.htm" \l "art16" </w:instrText>
      </w:r>
      <w:r>
        <w:fldChar w:fldCharType="separate"/>
      </w:r>
      <w:r>
        <w:rPr>
          <w:rStyle w:val="16"/>
          <w:rFonts w:ascii="Times New Roman" w:hAnsi="Times New Roman" w:cs="Times New Roman" w:eastAsiaTheme="minorHAnsi"/>
          <w:color w:val="auto"/>
          <w:sz w:val="24"/>
          <w:szCs w:val="24"/>
        </w:rPr>
        <w:t>art. 16 da Lei nº 14.133/2021</w:t>
      </w:r>
      <w:r>
        <w:rPr>
          <w:rStyle w:val="16"/>
          <w:rFonts w:ascii="Times New Roman" w:hAnsi="Times New Roman" w:cs="Times New Roman" w:eastAsiaTheme="minorHAnsi"/>
          <w:color w:val="auto"/>
          <w:sz w:val="24"/>
          <w:szCs w:val="24"/>
        </w:rPr>
        <w:fldChar w:fldCharType="end"/>
      </w:r>
      <w:r>
        <w:rPr>
          <w:rFonts w:ascii="Times New Roman" w:hAnsi="Times New Roman" w:cs="Times New Roman"/>
          <w:sz w:val="24"/>
          <w:szCs w:val="24"/>
        </w:rPr>
        <w:t>.</w:t>
      </w:r>
    </w:p>
    <w:p w14:paraId="696CD3E9">
      <w:pPr>
        <w:pStyle w:val="99"/>
        <w:spacing w:before="288" w:beforeLines="120" w:after="288" w:afterLines="120" w:line="288" w:lineRule="auto"/>
        <w:ind w:left="0" w:firstLine="0"/>
        <w:contextualSpacing/>
        <w:rPr>
          <w:rFonts w:ascii="Times New Roman" w:hAnsi="Times New Roman" w:cs="Times New Roman"/>
          <w:color w:val="auto"/>
          <w:sz w:val="24"/>
          <w:szCs w:val="24"/>
        </w:rPr>
      </w:pPr>
      <w:bookmarkStart w:id="20" w:name="_Ref117000019"/>
    </w:p>
    <w:p w14:paraId="0F0A869C">
      <w:pPr>
        <w:pStyle w:val="99"/>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 xml:space="preserve">4.5 O fornecedor enquadrado como microempresa, empresa de pequeno porte ou sociedade cooperativa deverá declarar, ainda, em campo próprio do sistema eletrônico, que cumpre os requisitos estabelecidos no </w:t>
      </w:r>
      <w:r>
        <w:fldChar w:fldCharType="begin"/>
      </w:r>
      <w:r>
        <w:instrText xml:space="preserve"> HYPERLINK "https://www.planalto.gov.br/ccivil_03/leis/lcp/lcp123.htm" \l "art3" </w:instrText>
      </w:r>
      <w:r>
        <w:fldChar w:fldCharType="separate"/>
      </w:r>
      <w:r>
        <w:rPr>
          <w:rStyle w:val="16"/>
          <w:rFonts w:ascii="Times New Roman" w:hAnsi="Times New Roman" w:cs="Times New Roman" w:eastAsiaTheme="minorHAnsi"/>
          <w:color w:val="auto"/>
          <w:sz w:val="24"/>
          <w:szCs w:val="24"/>
        </w:rPr>
        <w:t>art. 3° da Lei Complementar nº 123/2006</w:t>
      </w:r>
      <w:r>
        <w:rPr>
          <w:rStyle w:val="16"/>
          <w:rFonts w:ascii="Times New Roman" w:hAnsi="Times New Roman" w:cs="Times New Roman" w:eastAsiaTheme="minorHAnsi"/>
          <w:color w:val="auto"/>
          <w:sz w:val="24"/>
          <w:szCs w:val="24"/>
        </w:rPr>
        <w:fldChar w:fldCharType="end"/>
      </w:r>
      <w:r>
        <w:rPr>
          <w:rFonts w:ascii="Times New Roman" w:hAnsi="Times New Roman" w:cs="Times New Roman"/>
          <w:color w:val="auto"/>
          <w:sz w:val="24"/>
          <w:szCs w:val="24"/>
        </w:rPr>
        <w:t xml:space="preserve">, estando apto a usufruir do tratamento favorecido estabelecido em seus </w:t>
      </w:r>
      <w:bookmarkEnd w:id="20"/>
      <w:r>
        <w:fldChar w:fldCharType="begin"/>
      </w:r>
      <w:r>
        <w:rPr>
          <w:rFonts w:ascii="Times New Roman" w:hAnsi="Times New Roman" w:cs="Times New Roman"/>
          <w:color w:val="auto"/>
          <w:sz w:val="24"/>
          <w:szCs w:val="24"/>
        </w:rPr>
        <w:instrText xml:space="preserve">HYPERLINK "https://www.planalto.gov.br/ccivil_03/leis/lcp/lcp123.htm" \l "art42"</w:instrText>
      </w:r>
      <w:r>
        <w:fldChar w:fldCharType="separate"/>
      </w:r>
      <w:r>
        <w:rPr>
          <w:rStyle w:val="16"/>
          <w:rFonts w:ascii="Times New Roman" w:hAnsi="Times New Roman" w:cs="Times New Roman" w:eastAsiaTheme="minorHAnsi"/>
          <w:color w:val="auto"/>
          <w:sz w:val="24"/>
          <w:szCs w:val="24"/>
        </w:rPr>
        <w:t>arts. 42 a 49</w:t>
      </w:r>
      <w:r>
        <w:rPr>
          <w:rStyle w:val="16"/>
          <w:rFonts w:ascii="Times New Roman" w:hAnsi="Times New Roman" w:cs="Times New Roman" w:eastAsiaTheme="minorHAnsi"/>
          <w:color w:val="auto"/>
          <w:sz w:val="24"/>
          <w:szCs w:val="24"/>
        </w:rPr>
        <w:fldChar w:fldCharType="end"/>
      </w:r>
      <w:r>
        <w:rPr>
          <w:rFonts w:ascii="Times New Roman" w:hAnsi="Times New Roman" w:cs="Times New Roman"/>
          <w:color w:val="auto"/>
          <w:sz w:val="24"/>
          <w:szCs w:val="24"/>
        </w:rPr>
        <w:t xml:space="preserve">, observado o disposto nos </w:t>
      </w:r>
      <w:r>
        <w:fldChar w:fldCharType="begin"/>
      </w:r>
      <w:r>
        <w:instrText xml:space="preserve"> HYPERLINK "http://www.planalto.gov.br/ccivil_03/_ato2019-2022/2021/lei/L14133.htm" \l "art4§1" </w:instrText>
      </w:r>
      <w:r>
        <w:fldChar w:fldCharType="separate"/>
      </w:r>
      <w:r>
        <w:rPr>
          <w:rStyle w:val="16"/>
          <w:rFonts w:ascii="Times New Roman" w:hAnsi="Times New Roman" w:cs="Times New Roman" w:eastAsiaTheme="minorHAnsi"/>
          <w:color w:val="auto"/>
          <w:sz w:val="24"/>
          <w:szCs w:val="24"/>
        </w:rPr>
        <w:t>§§ 1º ao 3º do art. 4º da Lei n.º 14.133/2021.</w:t>
      </w:r>
      <w:r>
        <w:rPr>
          <w:rStyle w:val="16"/>
          <w:rFonts w:ascii="Times New Roman" w:hAnsi="Times New Roman" w:cs="Times New Roman" w:eastAsiaTheme="minorHAnsi"/>
          <w:color w:val="auto"/>
          <w:sz w:val="24"/>
          <w:szCs w:val="24"/>
        </w:rPr>
        <w:fldChar w:fldCharType="end"/>
      </w:r>
    </w:p>
    <w:p w14:paraId="21DAD6E8">
      <w:pPr>
        <w:pStyle w:val="103"/>
        <w:spacing w:before="288" w:beforeLines="120" w:after="288" w:afterLines="120" w:line="288" w:lineRule="auto"/>
        <w:ind w:left="0" w:firstLine="0"/>
        <w:contextualSpacing/>
        <w:rPr>
          <w:rFonts w:ascii="Times New Roman" w:hAnsi="Times New Roman" w:cs="Times New Roman"/>
          <w:sz w:val="24"/>
          <w:szCs w:val="24"/>
        </w:rPr>
      </w:pPr>
      <w:bookmarkStart w:id="21" w:name="_Hlk154225179"/>
      <w:r>
        <w:rPr>
          <w:rFonts w:ascii="Times New Roman" w:hAnsi="Times New Roman" w:cs="Times New Roman"/>
          <w:sz w:val="24"/>
          <w:szCs w:val="24"/>
        </w:rPr>
        <w:t>4.5.1 no item exclusivo para participação de microempresas e empresas de pequeno porte, a ausência de declaração na forma do item anterior impedirá o prosseguimento no certame, para aquele item;</w:t>
      </w:r>
    </w:p>
    <w:p w14:paraId="637339A7">
      <w:pPr>
        <w:pStyle w:val="103"/>
        <w:spacing w:before="288" w:beforeLines="120" w:after="288" w:afterLines="120" w:line="288" w:lineRule="auto"/>
        <w:ind w:left="0" w:firstLine="0"/>
        <w:contextualSpacing/>
        <w:rPr>
          <w:rFonts w:ascii="Times New Roman" w:hAnsi="Times New Roman" w:cs="Times New Roman"/>
          <w:sz w:val="24"/>
          <w:szCs w:val="24"/>
        </w:rPr>
      </w:pPr>
    </w:p>
    <w:p w14:paraId="56779E6C">
      <w:pPr>
        <w:pStyle w:val="10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4.5.2 nos itens em que a participação não for exclusiva para microempresas e empresas de pequeno porte, a ausência de declaração na forma do item 4.5 apenas produzirá o efeito de o licitante não ter direito ao tratamento favorecido previsto </w:t>
      </w:r>
      <w:r>
        <w:rPr>
          <w:rFonts w:ascii="Times New Roman" w:hAnsi="Times New Roman" w:cs="Times New Roman"/>
          <w:color w:val="auto"/>
          <w:sz w:val="24"/>
          <w:szCs w:val="24"/>
        </w:rPr>
        <w:t xml:space="preserve">na </w:t>
      </w:r>
      <w:r>
        <w:fldChar w:fldCharType="begin"/>
      </w:r>
      <w:r>
        <w:instrText xml:space="preserve"> HYPERLINK "https://www.planalto.gov.br/ccivil_03/leis/lcp/lcp123.htm" </w:instrText>
      </w:r>
      <w:r>
        <w:fldChar w:fldCharType="separate"/>
      </w:r>
      <w:r>
        <w:rPr>
          <w:rStyle w:val="16"/>
          <w:rFonts w:ascii="Times New Roman" w:hAnsi="Times New Roman" w:cs="Times New Roman" w:eastAsiaTheme="minorHAnsi"/>
          <w:color w:val="auto"/>
          <w:sz w:val="24"/>
          <w:szCs w:val="24"/>
        </w:rPr>
        <w:t>Lei Complementar nº 123/2006</w:t>
      </w:r>
      <w:r>
        <w:rPr>
          <w:rStyle w:val="16"/>
          <w:rFonts w:ascii="Times New Roman" w:hAnsi="Times New Roman" w:cs="Times New Roman" w:eastAsiaTheme="minorHAnsi"/>
          <w:color w:val="auto"/>
          <w:sz w:val="24"/>
          <w:szCs w:val="24"/>
        </w:rPr>
        <w:fldChar w:fldCharType="end"/>
      </w:r>
      <w:r>
        <w:rPr>
          <w:rFonts w:ascii="Times New Roman" w:hAnsi="Times New Roman" w:cs="Times New Roman"/>
          <w:sz w:val="24"/>
          <w:szCs w:val="24"/>
        </w:rPr>
        <w:t>, mesmo que microempresa, empresa de pequeno porte ou sociedade cooperativa.</w:t>
      </w:r>
    </w:p>
    <w:p w14:paraId="46057E82">
      <w:pPr>
        <w:pStyle w:val="99"/>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 xml:space="preserve">4.6 A falsidade das declarações de que tratam os itens 4.3 a 4.5 sujeitará o licitante às sanções previstas na </w:t>
      </w:r>
      <w:r>
        <w:fldChar w:fldCharType="begin"/>
      </w:r>
      <w:r>
        <w:instrText xml:space="preserve"> HYPERLINK "http://www.planalto.gov.br/ccivil_03/_ato2019-2022/2021/lei/L14133.htm" </w:instrText>
      </w:r>
      <w:r>
        <w:fldChar w:fldCharType="separate"/>
      </w:r>
      <w:r>
        <w:rPr>
          <w:rStyle w:val="16"/>
          <w:rFonts w:ascii="Times New Roman" w:hAnsi="Times New Roman" w:cs="Times New Roman" w:eastAsiaTheme="minorHAnsi"/>
          <w:color w:val="auto"/>
          <w:sz w:val="24"/>
          <w:szCs w:val="24"/>
        </w:rPr>
        <w:t>Lei nº 14.133/2021</w:t>
      </w:r>
      <w:r>
        <w:rPr>
          <w:rStyle w:val="16"/>
          <w:rFonts w:ascii="Times New Roman" w:hAnsi="Times New Roman" w:cs="Times New Roman" w:eastAsiaTheme="minorHAnsi"/>
          <w:color w:val="auto"/>
          <w:sz w:val="24"/>
          <w:szCs w:val="24"/>
        </w:rPr>
        <w:fldChar w:fldCharType="end"/>
      </w:r>
      <w:r>
        <w:rPr>
          <w:rFonts w:ascii="Times New Roman" w:hAnsi="Times New Roman" w:cs="Times New Roman"/>
          <w:color w:val="auto"/>
          <w:sz w:val="24"/>
          <w:szCs w:val="24"/>
        </w:rPr>
        <w:t xml:space="preserve"> e neste Edital.</w:t>
      </w:r>
    </w:p>
    <w:bookmarkEnd w:id="21"/>
    <w:p w14:paraId="5BD322EF">
      <w:pPr>
        <w:pStyle w:val="99"/>
        <w:spacing w:before="288" w:beforeLines="120" w:after="288" w:afterLines="120" w:line="288" w:lineRule="auto"/>
        <w:ind w:left="0" w:firstLine="0"/>
        <w:contextualSpacing/>
        <w:rPr>
          <w:rFonts w:ascii="Times New Roman" w:hAnsi="Times New Roman" w:cs="Times New Roman"/>
          <w:color w:val="auto"/>
          <w:sz w:val="24"/>
          <w:szCs w:val="24"/>
        </w:rPr>
      </w:pPr>
    </w:p>
    <w:p w14:paraId="4DEFFF45">
      <w:pPr>
        <w:pStyle w:val="99"/>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 xml:space="preserve">4.7 Os licitantes poderão retirar ou substituir a proposta ou, </w:t>
      </w:r>
      <w:r>
        <w:rPr>
          <w:rFonts w:ascii="Times New Roman" w:hAnsi="Times New Roman" w:cs="Times New Roman"/>
          <w:sz w:val="24"/>
          <w:szCs w:val="24"/>
        </w:rPr>
        <w:t xml:space="preserve">na hipótese de a fase de habilitação anteceder as fases de apresentação de propostas e lances e de julgamento, </w:t>
      </w:r>
      <w:r>
        <w:rPr>
          <w:rFonts w:ascii="Times New Roman" w:hAnsi="Times New Roman" w:cs="Times New Roman"/>
          <w:color w:val="auto"/>
          <w:sz w:val="24"/>
          <w:szCs w:val="24"/>
        </w:rPr>
        <w:t>os documentos de habilitação anteriormente inseridos no sistema, até a abertura da sessão pública.</w:t>
      </w:r>
    </w:p>
    <w:p w14:paraId="0B20C8BF">
      <w:pPr>
        <w:pStyle w:val="99"/>
        <w:spacing w:before="288" w:beforeLines="120" w:after="288" w:afterLines="120" w:line="288" w:lineRule="auto"/>
        <w:ind w:left="0" w:firstLine="0"/>
        <w:contextualSpacing/>
        <w:rPr>
          <w:rFonts w:ascii="Times New Roman" w:hAnsi="Times New Roman" w:cs="Times New Roman"/>
          <w:color w:val="auto"/>
          <w:sz w:val="24"/>
          <w:szCs w:val="24"/>
        </w:rPr>
      </w:pPr>
    </w:p>
    <w:p w14:paraId="03C1F03A">
      <w:pPr>
        <w:pStyle w:val="99"/>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4.8 Não haverá ordem de classificação na etapa de apresentação da proposta e das declarações pelo licitante, o que ocorrerá somente após os procedimentos de abertura da sessão pública e da fase de envio de lances.</w:t>
      </w:r>
    </w:p>
    <w:p w14:paraId="42299452">
      <w:pPr>
        <w:pStyle w:val="99"/>
        <w:spacing w:before="288" w:beforeLines="120" w:after="288" w:afterLines="120" w:line="288" w:lineRule="auto"/>
        <w:ind w:left="0" w:firstLine="0"/>
        <w:contextualSpacing/>
        <w:rPr>
          <w:rFonts w:ascii="Times New Roman" w:hAnsi="Times New Roman" w:cs="Times New Roman"/>
          <w:color w:val="auto"/>
          <w:sz w:val="24"/>
          <w:szCs w:val="24"/>
        </w:rPr>
      </w:pPr>
    </w:p>
    <w:p w14:paraId="502BF0EB">
      <w:pPr>
        <w:pStyle w:val="99"/>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4.9 Após a fase de envio de lances, serão disponibilizados para acesso público os documentos que compõem a proposta dos licitantes convocados para apresentação de propostas.</w:t>
      </w:r>
    </w:p>
    <w:p w14:paraId="40C64D20">
      <w:pPr>
        <w:pStyle w:val="99"/>
        <w:spacing w:before="288" w:beforeLines="120" w:after="288" w:afterLines="120" w:line="288" w:lineRule="auto"/>
        <w:ind w:left="0" w:firstLine="0"/>
        <w:contextualSpacing/>
        <w:rPr>
          <w:rFonts w:ascii="Times New Roman" w:hAnsi="Times New Roman" w:cs="Times New Roman"/>
          <w:color w:val="auto"/>
          <w:sz w:val="24"/>
          <w:szCs w:val="24"/>
        </w:rPr>
      </w:pPr>
    </w:p>
    <w:p w14:paraId="128991BB">
      <w:pPr>
        <w:pStyle w:val="99"/>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4.10 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14:paraId="42A862E3">
      <w:pPr>
        <w:pStyle w:val="99"/>
        <w:spacing w:before="288" w:beforeLines="120" w:after="288" w:afterLines="120" w:line="288" w:lineRule="auto"/>
        <w:ind w:left="0" w:firstLine="0"/>
        <w:contextualSpacing/>
        <w:rPr>
          <w:rFonts w:ascii="Times New Roman" w:hAnsi="Times New Roman" w:cs="Times New Roman"/>
          <w:color w:val="auto"/>
          <w:sz w:val="24"/>
          <w:szCs w:val="24"/>
        </w:rPr>
      </w:pPr>
    </w:p>
    <w:p w14:paraId="50E681E5">
      <w:pPr>
        <w:pStyle w:val="99"/>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4.11 O licitante deverá comunicar imediatamente ao provedor do sistema qualquer acontecimento que possa comprometer o sigilo ou a segurança, para imediato bloqueio de acesso.</w:t>
      </w:r>
    </w:p>
    <w:p w14:paraId="36120974">
      <w:pPr>
        <w:pStyle w:val="99"/>
        <w:spacing w:before="288" w:beforeLines="120" w:after="288" w:afterLines="120" w:line="288" w:lineRule="auto"/>
        <w:ind w:left="567" w:right="565" w:firstLine="0"/>
        <w:contextualSpacing/>
        <w:rPr>
          <w:rFonts w:ascii="Times New Roman" w:hAnsi="Times New Roman" w:cs="Times New Roman"/>
          <w:color w:val="FF0000"/>
          <w:sz w:val="24"/>
          <w:szCs w:val="24"/>
        </w:rPr>
      </w:pPr>
    </w:p>
    <w:p w14:paraId="6D018A1E">
      <w:pPr>
        <w:pStyle w:val="99"/>
        <w:spacing w:before="288" w:beforeLines="120" w:after="288" w:afterLines="120" w:line="288" w:lineRule="auto"/>
        <w:ind w:left="0" w:right="-2"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4.12 Desde que disponibilizada a funcionalidade no sistema, o licitante poderá parametrizar o seu valor final mínimo ou o seu percentual de desconto máximo quando do cadastramento da proposta e obedecerá às seguintes regras:</w:t>
      </w:r>
    </w:p>
    <w:p w14:paraId="6F1C9F13">
      <w:pPr>
        <w:pStyle w:val="103"/>
        <w:spacing w:before="288" w:beforeLines="120" w:after="288" w:afterLines="120" w:line="288" w:lineRule="auto"/>
        <w:ind w:left="0" w:right="-2"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 xml:space="preserve">4.12.1 a aplicação do intervalo mínimo de diferença de valores ou de percentuais entre os lances, conforme disposto no item 6.8, que incidirá tanto em relação aos lances intermediários quanto em relação ao lance que cobrir a melhor oferta;  </w:t>
      </w:r>
    </w:p>
    <w:p w14:paraId="380F979C">
      <w:pPr>
        <w:pStyle w:val="103"/>
        <w:spacing w:before="288" w:beforeLines="120" w:after="288" w:afterLines="120" w:line="288" w:lineRule="auto"/>
        <w:ind w:left="0" w:right="-2" w:firstLine="0"/>
        <w:contextualSpacing/>
        <w:rPr>
          <w:rFonts w:ascii="Times New Roman" w:hAnsi="Times New Roman" w:cs="Times New Roman"/>
          <w:color w:val="auto"/>
          <w:sz w:val="24"/>
          <w:szCs w:val="24"/>
        </w:rPr>
      </w:pPr>
    </w:p>
    <w:p w14:paraId="49381151">
      <w:pPr>
        <w:pStyle w:val="103"/>
        <w:spacing w:before="288" w:beforeLines="120" w:after="288" w:afterLines="120" w:line="288" w:lineRule="auto"/>
        <w:ind w:left="0" w:right="-2"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4.12.2 os lances serão de envio automático pelo sistema, respeitado o valor final mínimo, caso estabelecido, e o intervalo de que trata o subitem acima.</w:t>
      </w:r>
    </w:p>
    <w:p w14:paraId="06FD1B82">
      <w:pPr>
        <w:pStyle w:val="99"/>
        <w:spacing w:before="288" w:beforeLines="120" w:after="288" w:afterLines="120" w:line="288" w:lineRule="auto"/>
        <w:ind w:left="0" w:right="-2"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4.13 O valor final mínimo ou o percentual de desconto final máximo parametrizado no sistema poderá ser alterado pelo fornecedor durante a fase de disputa, sendo vedado:</w:t>
      </w:r>
    </w:p>
    <w:p w14:paraId="3714FDDA">
      <w:pPr>
        <w:pStyle w:val="103"/>
        <w:spacing w:before="288" w:beforeLines="120" w:after="288" w:afterLines="120" w:line="288" w:lineRule="auto"/>
        <w:ind w:left="0"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4.13.1 valor superior a lance já registrado pelo fornecedor no sistema, quando adotado o critério de julgamento por menor preço; e</w:t>
      </w:r>
    </w:p>
    <w:p w14:paraId="3B5B73CE">
      <w:pPr>
        <w:pStyle w:val="103"/>
        <w:spacing w:before="288" w:beforeLines="120" w:after="288" w:afterLines="120" w:line="288" w:lineRule="auto"/>
        <w:ind w:left="0" w:right="565" w:firstLine="0"/>
        <w:contextualSpacing/>
        <w:rPr>
          <w:rFonts w:ascii="Times New Roman" w:hAnsi="Times New Roman" w:cs="Times New Roman"/>
          <w:color w:val="auto"/>
          <w:sz w:val="24"/>
          <w:szCs w:val="24"/>
        </w:rPr>
      </w:pPr>
    </w:p>
    <w:p w14:paraId="3E7676FC">
      <w:pPr>
        <w:pStyle w:val="103"/>
        <w:spacing w:before="288" w:beforeLines="120" w:after="288" w:afterLines="120" w:line="288" w:lineRule="auto"/>
        <w:ind w:left="0" w:right="-2"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4.13.2 percentual de desconto inferior a lance já registrado pelo fornecedor no sistema, quando adotado o critério de julgamento por maior desconto.</w:t>
      </w:r>
    </w:p>
    <w:p w14:paraId="61BF7085">
      <w:pPr>
        <w:pStyle w:val="99"/>
        <w:spacing w:before="288" w:beforeLines="120" w:after="288" w:afterLines="120" w:line="288" w:lineRule="auto"/>
        <w:ind w:left="0" w:right="-2" w:firstLine="0"/>
        <w:contextualSpacing/>
        <w:rPr>
          <w:rFonts w:ascii="Times New Roman" w:hAnsi="Times New Roman" w:cs="Times New Roman"/>
          <w:color w:val="FF0000"/>
          <w:sz w:val="24"/>
          <w:szCs w:val="24"/>
        </w:rPr>
      </w:pPr>
      <w:r>
        <w:rPr>
          <w:rFonts w:ascii="Times New Roman" w:hAnsi="Times New Roman" w:cs="Times New Roman"/>
          <w:color w:val="auto"/>
          <w:sz w:val="24"/>
          <w:szCs w:val="24"/>
        </w:rPr>
        <w:t>4.14 O valor final mínimo ou o percentual de desconto final máximo parametrizado na forma do item 4.12 possuirá caráter sigiloso para os demais fornecedores e para o órgão ou entidade promotora da licitação, podendo ser disponibilizado estrita e permanentemente aos órgãos de controle externo e interno.</w:t>
      </w:r>
    </w:p>
    <w:p w14:paraId="084C8965">
      <w:pPr>
        <w:pStyle w:val="97"/>
        <w:spacing w:before="0" w:beforeAutospacing="0" w:after="0" w:afterAutospacing="0" w:line="288" w:lineRule="auto"/>
        <w:contextualSpacing/>
        <w:jc w:val="both"/>
        <w:rPr>
          <w:rFonts w:eastAsia="Calibri"/>
          <w:b/>
          <w:bCs/>
          <w:lang w:eastAsia="en-US"/>
        </w:rPr>
      </w:pPr>
      <w:r>
        <w:rPr>
          <w:rFonts w:eastAsia="Calibri"/>
          <w:b/>
          <w:bCs/>
          <w:lang w:eastAsia="en-US"/>
        </w:rPr>
        <w:t>5. DO PREENCHIMENTO DA PROPOSTA</w:t>
      </w:r>
    </w:p>
    <w:p w14:paraId="7B3F8A74">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5.1 O licitante deverá enviar sua proposta mediante o preenchimento, no sistema eletrônico, dos seguintes campos:</w:t>
      </w:r>
    </w:p>
    <w:p w14:paraId="4FAF8F22">
      <w:pPr>
        <w:pStyle w:val="103"/>
        <w:spacing w:before="288" w:beforeLines="120" w:after="288" w:afterLines="120" w:line="288" w:lineRule="auto"/>
        <w:ind w:left="0" w:firstLine="0"/>
        <w:contextualSpacing/>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5.1.1 Valor unitário do item;</w:t>
      </w:r>
    </w:p>
    <w:p w14:paraId="1D12E318">
      <w:pPr>
        <w:pStyle w:val="103"/>
        <w:spacing w:before="288" w:beforeLines="120" w:after="288" w:afterLines="120" w:line="288" w:lineRule="auto"/>
        <w:ind w:left="0" w:firstLine="0"/>
        <w:contextualSpacing/>
        <w:rPr>
          <w:rFonts w:ascii="Times New Roman" w:hAnsi="Times New Roman" w:cs="Times New Roman"/>
          <w:color w:val="auto"/>
          <w:sz w:val="24"/>
          <w:szCs w:val="24"/>
        </w:rPr>
      </w:pPr>
    </w:p>
    <w:p w14:paraId="789EDE17">
      <w:pPr>
        <w:pStyle w:val="10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color w:val="auto"/>
          <w:sz w:val="24"/>
          <w:szCs w:val="24"/>
        </w:rPr>
        <w:t xml:space="preserve">5.1.2 </w:t>
      </w:r>
      <w:r>
        <w:rPr>
          <w:rFonts w:ascii="Times New Roman" w:hAnsi="Times New Roman" w:cs="Times New Roman"/>
          <w:sz w:val="24"/>
          <w:szCs w:val="24"/>
        </w:rPr>
        <w:t xml:space="preserve">Serão aceitos marcas e fabricantes que comprovem o atendimento a essas especificações. A apresentação de ficha técnica e certificados de qualidade é obrigatória. </w:t>
      </w:r>
    </w:p>
    <w:p w14:paraId="01BB1869">
      <w:pPr>
        <w:pStyle w:val="103"/>
        <w:spacing w:before="288" w:beforeLines="120" w:after="288" w:afterLines="120" w:line="288" w:lineRule="auto"/>
        <w:ind w:left="0" w:firstLine="0"/>
        <w:contextualSpacing/>
        <w:rPr>
          <w:rFonts w:ascii="Times New Roman" w:hAnsi="Times New Roman" w:cs="Times New Roman"/>
          <w:color w:val="auto"/>
          <w:sz w:val="24"/>
          <w:szCs w:val="24"/>
        </w:rPr>
      </w:pPr>
    </w:p>
    <w:p w14:paraId="01A437F5">
      <w:pPr>
        <w:pStyle w:val="103"/>
        <w:spacing w:before="288" w:beforeLines="120" w:after="288" w:afterLines="120" w:line="288" w:lineRule="auto"/>
        <w:ind w:left="0" w:firstLine="0"/>
        <w:contextualSpacing/>
        <w:rPr>
          <w:rFonts w:ascii="Times New Roman" w:hAnsi="Times New Roman" w:cs="Times New Roman"/>
          <w:iCs/>
          <w:color w:val="auto"/>
          <w:sz w:val="24"/>
          <w:szCs w:val="24"/>
        </w:rPr>
      </w:pPr>
      <w:r>
        <w:rPr>
          <w:rFonts w:ascii="Times New Roman" w:hAnsi="Times New Roman" w:cs="Times New Roman"/>
          <w:color w:val="auto"/>
          <w:sz w:val="24"/>
          <w:szCs w:val="24"/>
        </w:rPr>
        <w:t xml:space="preserve">5.1.3 </w:t>
      </w:r>
      <w:r>
        <w:rPr>
          <w:rFonts w:ascii="Times New Roman" w:hAnsi="Times New Roman" w:cs="Times New Roman"/>
          <w:sz w:val="24"/>
          <w:szCs w:val="24"/>
        </w:rPr>
        <w:t>Descrição do objeto, contendo as informações similares à especificação do Termo de Referência</w:t>
      </w:r>
      <w:r>
        <w:rPr>
          <w:rFonts w:ascii="Times New Roman" w:hAnsi="Times New Roman" w:cs="Times New Roman"/>
          <w:iCs/>
          <w:color w:val="auto"/>
          <w:sz w:val="24"/>
          <w:szCs w:val="24"/>
        </w:rPr>
        <w:t xml:space="preserve">; </w:t>
      </w:r>
    </w:p>
    <w:p w14:paraId="1403743F">
      <w:pPr>
        <w:pStyle w:val="103"/>
        <w:spacing w:before="288" w:beforeLines="120" w:after="288" w:afterLines="120" w:line="288" w:lineRule="auto"/>
        <w:ind w:left="0" w:right="565" w:firstLine="0"/>
        <w:contextualSpacing/>
        <w:rPr>
          <w:rFonts w:ascii="Times New Roman" w:hAnsi="Times New Roman" w:cs="Times New Roman"/>
          <w:color w:val="auto"/>
          <w:sz w:val="24"/>
          <w:szCs w:val="24"/>
        </w:rPr>
      </w:pPr>
    </w:p>
    <w:p w14:paraId="638F4EE0">
      <w:pPr>
        <w:pStyle w:val="103"/>
        <w:spacing w:before="288" w:beforeLines="120" w:after="288" w:afterLines="120" w:line="288" w:lineRule="auto"/>
        <w:ind w:left="0" w:right="565" w:firstLine="0"/>
        <w:contextualSpacing/>
        <w:rPr>
          <w:rFonts w:ascii="Times New Roman" w:hAnsi="Times New Roman" w:cs="Times New Roman"/>
          <w:b/>
          <w:bCs/>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5.1.4 Quantidade cotada, que não poderá ser inferior ao quantitativo máximo de cada item que poderá ser adquirido.</w:t>
      </w:r>
    </w:p>
    <w:p w14:paraId="0BD1C4B8">
      <w:pPr>
        <w:pStyle w:val="99"/>
        <w:spacing w:before="288" w:beforeLines="120" w:after="288" w:afterLines="120" w:line="288" w:lineRule="auto"/>
        <w:ind w:left="0" w:firstLine="0"/>
        <w:contextualSpacing/>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5.2 Todas as especificações do objeto contidas na proposta vinculam o licitante.</w:t>
      </w:r>
    </w:p>
    <w:p w14:paraId="09748EA1">
      <w:pPr>
        <w:pStyle w:val="103"/>
        <w:spacing w:line="288" w:lineRule="auto"/>
        <w:ind w:left="0" w:right="565" w:firstLine="0"/>
        <w:contextualSpacing/>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5.2.1 O licitante não poderá oferecer proposta em quantitativo inferior ao máximo previsto para contratação.</w:t>
      </w:r>
    </w:p>
    <w:p w14:paraId="57906A6A">
      <w:pPr>
        <w:pStyle w:val="103"/>
        <w:spacing w:line="288" w:lineRule="auto"/>
        <w:ind w:left="0" w:firstLine="0"/>
        <w:contextualSpacing/>
        <w:rPr>
          <w:rFonts w:ascii="Times New Roman" w:hAnsi="Times New Roman" w:cs="Times New Roman"/>
          <w:color w:val="auto"/>
          <w:sz w:val="24"/>
          <w:szCs w:val="24"/>
        </w:rPr>
      </w:pPr>
    </w:p>
    <w:p w14:paraId="5A4F39A0">
      <w:pPr>
        <w:pStyle w:val="103"/>
        <w:spacing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5.3 Nos valores propostos estarão inclusos todos os custos operacionais, encargos previdenciários, trabalhistas, tributários, comerciais e quaisquer outros que incidam direta ou indiretamente na execução do objeto.</w:t>
      </w:r>
    </w:p>
    <w:p w14:paraId="2C629627">
      <w:pPr>
        <w:pStyle w:val="99"/>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5.4 Os preços ofertados, tanto na proposta inicial, quanto na etapa de lances, serão de exclusiva responsabilidade do licitante, não lhe assistindo o direito de pleitear qualquer alteração, sob alegação de erro, omissão ou qualquer outro pretexto.</w:t>
      </w:r>
    </w:p>
    <w:p w14:paraId="5D2726A4">
      <w:pPr>
        <w:pStyle w:val="99"/>
        <w:spacing w:before="288" w:beforeLines="120" w:after="288" w:afterLines="120" w:line="288" w:lineRule="auto"/>
        <w:ind w:left="0" w:firstLine="0"/>
        <w:contextualSpacing/>
        <w:rPr>
          <w:rFonts w:ascii="Times New Roman" w:hAnsi="Times New Roman" w:cs="Times New Roman"/>
          <w:color w:val="auto"/>
          <w:sz w:val="24"/>
          <w:szCs w:val="24"/>
        </w:rPr>
      </w:pPr>
    </w:p>
    <w:p w14:paraId="42023E90">
      <w:pPr>
        <w:pStyle w:val="99"/>
        <w:spacing w:before="288" w:beforeLines="120" w:after="288" w:afterLines="120" w:line="288" w:lineRule="auto"/>
        <w:ind w:left="0" w:firstLine="0"/>
        <w:contextualSpacing/>
        <w:rPr>
          <w:rFonts w:ascii="Times New Roman" w:hAnsi="Times New Roman" w:cs="Times New Roman"/>
          <w:color w:val="FF66FF"/>
          <w:sz w:val="24"/>
          <w:szCs w:val="24"/>
        </w:rPr>
      </w:pPr>
      <w:r>
        <w:rPr>
          <w:rFonts w:ascii="Times New Roman" w:hAnsi="Times New Roman" w:cs="Times New Roman"/>
          <w:color w:val="auto"/>
          <w:sz w:val="24"/>
          <w:szCs w:val="24"/>
        </w:rPr>
        <w:t xml:space="preserve">5.5 Se o regime tributário da empresa implicar o recolhimento de tributos em percentuais variáveis, a cotação adequada será a que corresponde à média dos efetivos recolhimentos da empresa nos últimos doze meses. </w:t>
      </w:r>
    </w:p>
    <w:p w14:paraId="6B27041C">
      <w:pPr>
        <w:pStyle w:val="99"/>
        <w:spacing w:before="288" w:beforeLines="120" w:after="288" w:afterLines="120" w:line="288" w:lineRule="auto"/>
        <w:ind w:left="0" w:firstLine="0"/>
        <w:contextualSpacing/>
        <w:rPr>
          <w:rFonts w:ascii="Times New Roman" w:hAnsi="Times New Roman" w:cs="Times New Roman"/>
          <w:color w:val="auto"/>
          <w:sz w:val="24"/>
          <w:szCs w:val="24"/>
        </w:rPr>
      </w:pPr>
    </w:p>
    <w:p w14:paraId="52D5924B">
      <w:pPr>
        <w:pStyle w:val="99"/>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5.6 Independentemente do percentual de tributo inserido na planilha, no pagamento serão retidos na fonte os percentuais estabelecidos na legislação vigente.</w:t>
      </w:r>
    </w:p>
    <w:p w14:paraId="665A2547">
      <w:pPr>
        <w:pStyle w:val="99"/>
        <w:spacing w:before="288" w:beforeLines="120" w:after="288" w:afterLines="120" w:line="288" w:lineRule="auto"/>
        <w:ind w:left="0" w:firstLine="0"/>
        <w:contextualSpacing/>
        <w:rPr>
          <w:rFonts w:ascii="Times New Roman" w:hAnsi="Times New Roman" w:cs="Times New Roman"/>
          <w:i/>
          <w:iCs/>
          <w:color w:val="FF0000"/>
          <w:sz w:val="24"/>
          <w:szCs w:val="24"/>
        </w:rPr>
      </w:pPr>
      <w:bookmarkStart w:id="22" w:name="_Hlk154227498"/>
    </w:p>
    <w:p w14:paraId="2B55136C">
      <w:pPr>
        <w:pStyle w:val="99"/>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5.7</w:t>
      </w:r>
      <w:r>
        <w:rPr>
          <w:rFonts w:ascii="Times New Roman" w:hAnsi="Times New Roman" w:cs="Times New Roman"/>
          <w:color w:val="FF0000"/>
          <w:sz w:val="24"/>
          <w:szCs w:val="24"/>
        </w:rPr>
        <w:t xml:space="preserve"> </w:t>
      </w:r>
      <w:r>
        <w:rPr>
          <w:rFonts w:ascii="Times New Roman" w:hAnsi="Times New Roman" w:cs="Times New Roman"/>
          <w:color w:val="auto"/>
          <w:sz w:val="24"/>
          <w:szCs w:val="24"/>
        </w:rPr>
        <w:t>Na presente licitação, a Microempresa e a Empresa de Pequeno Porte poderão se beneficiar do regime de tributação pelo Simples Nacional.</w:t>
      </w:r>
    </w:p>
    <w:p w14:paraId="79D6EF05">
      <w:pPr>
        <w:pStyle w:val="99"/>
        <w:spacing w:before="288" w:beforeLines="120" w:after="288" w:afterLines="120" w:line="288" w:lineRule="auto"/>
        <w:ind w:left="0" w:firstLine="0"/>
        <w:contextualSpacing/>
        <w:rPr>
          <w:rFonts w:ascii="Times New Roman" w:hAnsi="Times New Roman" w:cs="Times New Roman"/>
          <w:i/>
          <w:iCs/>
          <w:color w:val="FF0000"/>
          <w:sz w:val="24"/>
          <w:szCs w:val="24"/>
        </w:rPr>
      </w:pPr>
      <w:r>
        <w:rPr>
          <w:rFonts w:ascii="Times New Roman" w:hAnsi="Times New Roman" w:cs="Times New Roman"/>
          <w:sz w:val="24"/>
          <w:szCs w:val="24"/>
        </w:rPr>
        <w:t>5.8 O licitante cujo estabelecimento esteja localizado no Estado do Rio de Janeiro deverá apresentar proposta isenta de ICMS, quando cabível, de acordo com o Convênio CONFAZ nº 26/2003 e a Resolução SEFAZ nº 971/2016, sendo este valor considerado para efeito de competição na licitação.</w:t>
      </w:r>
      <w:bookmarkEnd w:id="22"/>
    </w:p>
    <w:p w14:paraId="459C9C62">
      <w:pPr>
        <w:pStyle w:val="99"/>
        <w:spacing w:before="288" w:beforeLines="120" w:after="288" w:afterLines="120" w:line="288" w:lineRule="auto"/>
        <w:ind w:left="0" w:firstLine="0"/>
        <w:contextualSpacing/>
        <w:rPr>
          <w:rFonts w:ascii="Times New Roman" w:hAnsi="Times New Roman" w:cs="Times New Roman"/>
          <w:color w:val="auto"/>
          <w:sz w:val="24"/>
          <w:szCs w:val="24"/>
        </w:rPr>
      </w:pPr>
    </w:p>
    <w:p w14:paraId="24284853">
      <w:pPr>
        <w:pStyle w:val="99"/>
        <w:spacing w:before="288" w:beforeLines="120" w:after="288" w:afterLines="120" w:line="288" w:lineRule="auto"/>
        <w:ind w:left="0" w:firstLine="0"/>
        <w:contextualSpacing/>
        <w:rPr>
          <w:rFonts w:ascii="Times New Roman" w:hAnsi="Times New Roman" w:cs="Times New Roman"/>
          <w:i/>
          <w:iCs/>
          <w:color w:val="FF0000"/>
          <w:sz w:val="24"/>
          <w:szCs w:val="24"/>
        </w:rPr>
      </w:pPr>
      <w:r>
        <w:rPr>
          <w:rFonts w:ascii="Times New Roman" w:hAnsi="Times New Roman" w:cs="Times New Roman"/>
          <w:color w:val="auto"/>
          <w:sz w:val="24"/>
          <w:szCs w:val="24"/>
        </w:rPr>
        <w:t>5.9 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386B6122">
      <w:pPr>
        <w:pStyle w:val="99"/>
        <w:spacing w:before="288" w:beforeLines="120" w:after="288" w:afterLines="120" w:line="288" w:lineRule="auto"/>
        <w:ind w:left="0" w:firstLine="0"/>
        <w:contextualSpacing/>
        <w:rPr>
          <w:rFonts w:ascii="Times New Roman" w:hAnsi="Times New Roman" w:cs="Times New Roman"/>
          <w:sz w:val="24"/>
          <w:szCs w:val="24"/>
        </w:rPr>
      </w:pPr>
    </w:p>
    <w:p w14:paraId="0A7A2C0C">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5.10 O prazo de validade da proposta não será inferior </w:t>
      </w:r>
      <w:r>
        <w:rPr>
          <w:rFonts w:ascii="Times New Roman" w:hAnsi="Times New Roman" w:cs="Times New Roman"/>
          <w:color w:val="000000" w:themeColor="text1"/>
          <w:sz w:val="24"/>
          <w:szCs w:val="24"/>
          <w14:textFill>
            <w14:solidFill>
              <w14:schemeClr w14:val="tx1"/>
            </w14:solidFill>
          </w14:textFill>
        </w:rPr>
        <w:t>a 60 (sessenta) dias corridos</w:t>
      </w:r>
      <w:r>
        <w:rPr>
          <w:rFonts w:ascii="Times New Roman" w:hAnsi="Times New Roman" w:cs="Times New Roman"/>
          <w:b/>
          <w:color w:val="000000" w:themeColor="text1"/>
          <w:sz w:val="24"/>
          <w:szCs w:val="24"/>
          <w14:textFill>
            <w14:solidFill>
              <w14:schemeClr w14:val="tx1"/>
            </w14:solidFill>
          </w14:textFill>
        </w:rPr>
        <w:t>,</w:t>
      </w:r>
      <w:r>
        <w:rPr>
          <w:rFonts w:ascii="Times New Roman" w:hAnsi="Times New Roman" w:cs="Times New Roman"/>
          <w:color w:val="000000" w:themeColor="text1"/>
          <w:sz w:val="24"/>
          <w:szCs w:val="24"/>
          <w14:textFill>
            <w14:solidFill>
              <w14:schemeClr w14:val="tx1"/>
            </w14:solidFill>
          </w14:textFill>
        </w:rPr>
        <w:t xml:space="preserve"> </w:t>
      </w:r>
      <w:r>
        <w:rPr>
          <w:rFonts w:ascii="Times New Roman" w:hAnsi="Times New Roman" w:cs="Times New Roman"/>
          <w:sz w:val="24"/>
          <w:szCs w:val="24"/>
        </w:rPr>
        <w:t>a contar da data de sua apresentação, podendo ser prorrogado, por igual período, salvo se houver justificativa para prazo diverso aceita pela Administração.</w:t>
      </w:r>
    </w:p>
    <w:p w14:paraId="0BF881E8">
      <w:pPr>
        <w:pStyle w:val="99"/>
        <w:spacing w:before="288" w:beforeLines="120" w:after="288" w:afterLines="120" w:line="288" w:lineRule="auto"/>
        <w:ind w:left="0" w:firstLine="0"/>
        <w:contextualSpacing/>
        <w:rPr>
          <w:rFonts w:ascii="Times New Roman" w:hAnsi="Times New Roman" w:cs="Times New Roman"/>
          <w:sz w:val="24"/>
          <w:szCs w:val="24"/>
        </w:rPr>
      </w:pPr>
      <w:bookmarkStart w:id="23" w:name="_Hlk154229074"/>
    </w:p>
    <w:p w14:paraId="579C67F0">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5.11 Os licitantes devem respeitar os preços máximos estabelecidos no Anexo deste Edital referente ao orçamento estimado (art. 59, III, da Lei nº 14.133/2021).</w:t>
      </w:r>
    </w:p>
    <w:p w14:paraId="264C470B">
      <w:pPr>
        <w:pStyle w:val="99"/>
        <w:spacing w:before="288" w:beforeLines="120" w:after="288" w:afterLines="120" w:line="288" w:lineRule="auto"/>
        <w:ind w:left="0" w:firstLine="0"/>
        <w:contextualSpacing/>
        <w:rPr>
          <w:rFonts w:ascii="Times New Roman" w:hAnsi="Times New Roman" w:cs="Times New Roman"/>
          <w:sz w:val="24"/>
          <w:szCs w:val="24"/>
        </w:rPr>
      </w:pPr>
    </w:p>
    <w:p w14:paraId="574E3734">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5.11.1  O descumprimento das regras supramencionadas pela Administração por parte dos contratados pode ensejar a responsabilização pelo Tribunal de Contas do Estado e, após o devido processo legal, gerar as seguintes consequências: assinatura de prazo para a adoção das medidas necessárias ao exato cumprimento da lei, nos termos do </w:t>
      </w:r>
      <w:r>
        <w:fldChar w:fldCharType="begin"/>
      </w:r>
      <w:r>
        <w:instrText xml:space="preserve"> HYPERLINK "https://www.planalto.gov.br/ccivil_03/constituicao/constituicaocompilado.htm" </w:instrText>
      </w:r>
      <w:r>
        <w:fldChar w:fldCharType="separate"/>
      </w:r>
      <w:r>
        <w:rPr>
          <w:rStyle w:val="16"/>
          <w:rFonts w:ascii="Times New Roman" w:hAnsi="Times New Roman" w:cs="Times New Roman" w:eastAsiaTheme="minorHAnsi"/>
          <w:color w:val="auto"/>
          <w:sz w:val="24"/>
          <w:szCs w:val="24"/>
        </w:rPr>
        <w:t>art. 71, inciso IX, da Constituição</w:t>
      </w:r>
      <w:r>
        <w:rPr>
          <w:rStyle w:val="16"/>
          <w:rFonts w:ascii="Times New Roman" w:hAnsi="Times New Roman" w:cs="Times New Roman" w:eastAsiaTheme="minorHAnsi"/>
          <w:color w:val="auto"/>
          <w:sz w:val="24"/>
          <w:szCs w:val="24"/>
        </w:rPr>
        <w:fldChar w:fldCharType="end"/>
      </w:r>
      <w:r>
        <w:rPr>
          <w:rFonts w:ascii="Times New Roman" w:hAnsi="Times New Roman" w:cs="Times New Roman"/>
          <w:sz w:val="24"/>
          <w:szCs w:val="24"/>
        </w:rPr>
        <w:t>; ou condenação dos agentes públicos responsáveis e da empresa contratada ao pagamento dos prejuízos ao erário, caso verificada a ocorrência de superfaturamento por sobrepreço na execução do contrato.</w:t>
      </w:r>
    </w:p>
    <w:bookmarkEnd w:id="23"/>
    <w:p w14:paraId="6EA8A74B">
      <w:pPr>
        <w:pStyle w:val="97"/>
        <w:spacing w:before="0" w:beforeAutospacing="0" w:after="0" w:afterAutospacing="0" w:line="288" w:lineRule="auto"/>
        <w:contextualSpacing/>
        <w:jc w:val="both"/>
        <w:rPr>
          <w:rFonts w:eastAsia="Calibri"/>
          <w:b/>
          <w:bCs/>
          <w:lang w:eastAsia="en-US"/>
        </w:rPr>
      </w:pPr>
      <w:r>
        <w:rPr>
          <w:rFonts w:eastAsia="Calibri"/>
          <w:b/>
          <w:bCs/>
          <w:lang w:eastAsia="en-US"/>
        </w:rPr>
        <w:t>6. DA ABERTURA DA SESSÃO, CLASSIFICAÇÃO DAS PROPOSTAS E FORMULAÇÃO DE LANCES</w:t>
      </w:r>
    </w:p>
    <w:p w14:paraId="5726ED8B">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6.1 A abertura da presente licitação dar-se-á em sessão pública, por meio de sistema eletrônico, na data, horário e local indicados neste Edital.</w:t>
      </w:r>
    </w:p>
    <w:p w14:paraId="0B73CCBC">
      <w:pPr>
        <w:pStyle w:val="99"/>
        <w:spacing w:before="288" w:beforeLines="120" w:after="288" w:afterLines="120" w:line="288" w:lineRule="auto"/>
        <w:ind w:left="0" w:firstLine="0"/>
        <w:contextualSpacing/>
        <w:rPr>
          <w:rFonts w:ascii="Times New Roman" w:hAnsi="Times New Roman" w:cs="Times New Roman"/>
          <w:sz w:val="24"/>
          <w:szCs w:val="24"/>
        </w:rPr>
      </w:pPr>
    </w:p>
    <w:p w14:paraId="7481F69A">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6.2 Os licitantes poderão retirar ou substituir a proposta </w:t>
      </w:r>
      <w:r>
        <w:rPr>
          <w:rFonts w:ascii="Times New Roman" w:hAnsi="Times New Roman" w:cs="Times New Roman"/>
          <w:color w:val="auto"/>
          <w:sz w:val="24"/>
          <w:szCs w:val="24"/>
        </w:rPr>
        <w:t>ou os documentos de habilitação</w:t>
      </w:r>
      <w:r>
        <w:rPr>
          <w:rFonts w:ascii="Times New Roman" w:hAnsi="Times New Roman" w:cs="Times New Roman"/>
          <w:sz w:val="24"/>
          <w:szCs w:val="24"/>
        </w:rPr>
        <w:t>, quando for o caso, anteriormente inseridos no sistema, até a abertura da sessão pública.</w:t>
      </w:r>
    </w:p>
    <w:p w14:paraId="38DE5587">
      <w:pPr>
        <w:pStyle w:val="99"/>
        <w:spacing w:before="288" w:beforeLines="120" w:after="288" w:afterLines="120" w:line="288" w:lineRule="auto"/>
        <w:ind w:left="0" w:firstLine="0"/>
        <w:contextualSpacing/>
        <w:rPr>
          <w:rFonts w:ascii="Times New Roman" w:hAnsi="Times New Roman" w:cs="Times New Roman"/>
          <w:sz w:val="24"/>
          <w:szCs w:val="24"/>
        </w:rPr>
      </w:pPr>
    </w:p>
    <w:p w14:paraId="4483DEF4">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6.3 O sistema disponibilizará campo próprio para troca de mensagens entre o Pregoeiro e os licitantes.</w:t>
      </w:r>
    </w:p>
    <w:p w14:paraId="120D185A">
      <w:pPr>
        <w:pStyle w:val="99"/>
        <w:spacing w:before="288" w:beforeLines="120" w:after="288" w:afterLines="120" w:line="288" w:lineRule="auto"/>
        <w:ind w:left="0" w:firstLine="0"/>
        <w:contextualSpacing/>
        <w:rPr>
          <w:rFonts w:ascii="Times New Roman" w:hAnsi="Times New Roman" w:cs="Times New Roman"/>
          <w:sz w:val="24"/>
          <w:szCs w:val="24"/>
        </w:rPr>
      </w:pPr>
    </w:p>
    <w:p w14:paraId="1B6BE2C7">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6.4 Iniciada a etapa competitiva, os licitantes deverão encaminhar lances exclusivamente por meio de sistema eletrônico, sendo imediatamente informados do seu recebimento e do valor consignado no registro. </w:t>
      </w:r>
    </w:p>
    <w:p w14:paraId="14E7BAF8">
      <w:pPr>
        <w:pStyle w:val="99"/>
        <w:spacing w:before="288" w:beforeLines="120" w:after="288" w:afterLines="120" w:line="288" w:lineRule="auto"/>
        <w:ind w:left="0" w:firstLine="0"/>
        <w:contextualSpacing/>
        <w:rPr>
          <w:rFonts w:ascii="Times New Roman" w:hAnsi="Times New Roman" w:cs="Times New Roman"/>
          <w:color w:val="FF0000"/>
          <w:sz w:val="24"/>
          <w:szCs w:val="24"/>
        </w:rPr>
      </w:pPr>
    </w:p>
    <w:p w14:paraId="18FC8B4C">
      <w:pPr>
        <w:pStyle w:val="99"/>
        <w:spacing w:before="288" w:beforeLines="120" w:after="288" w:afterLines="120" w:line="288" w:lineRule="auto"/>
        <w:ind w:left="0" w:firstLine="0"/>
        <w:contextualSpacing/>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6.5 O lance deverá ser ofertado pelo valor unitário do item.</w:t>
      </w:r>
    </w:p>
    <w:p w14:paraId="2B7895DD">
      <w:pPr>
        <w:pStyle w:val="99"/>
        <w:spacing w:before="288" w:beforeLines="120" w:after="288" w:afterLines="120" w:line="288" w:lineRule="auto"/>
        <w:ind w:left="0" w:firstLine="0"/>
        <w:contextualSpacing/>
        <w:rPr>
          <w:rFonts w:ascii="Times New Roman" w:hAnsi="Times New Roman" w:cs="Times New Roman"/>
          <w:sz w:val="24"/>
          <w:szCs w:val="24"/>
        </w:rPr>
      </w:pPr>
    </w:p>
    <w:p w14:paraId="4C19FC0D">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6.6 Os licitantes poderão oferecer lances sucessivos, observando o horário fixado para abertura da sessão e as regras estabelecidas no Edital.</w:t>
      </w:r>
    </w:p>
    <w:p w14:paraId="1BE7647A">
      <w:pPr>
        <w:pStyle w:val="99"/>
        <w:spacing w:before="288" w:beforeLines="120" w:after="288" w:afterLines="120" w:line="288" w:lineRule="auto"/>
        <w:ind w:left="0" w:firstLine="0"/>
        <w:contextualSpacing/>
        <w:rPr>
          <w:rFonts w:ascii="Times New Roman" w:hAnsi="Times New Roman" w:cs="Times New Roman"/>
          <w:sz w:val="24"/>
          <w:szCs w:val="24"/>
        </w:rPr>
      </w:pPr>
    </w:p>
    <w:p w14:paraId="1706696D">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6.7 O licitante somente poderá oferecer lance </w:t>
      </w:r>
      <w:r>
        <w:rPr>
          <w:rFonts w:ascii="Times New Roman" w:hAnsi="Times New Roman" w:cs="Times New Roman"/>
          <w:iCs/>
          <w:color w:val="auto"/>
          <w:sz w:val="24"/>
          <w:szCs w:val="24"/>
        </w:rPr>
        <w:t>de valor inferior ou percentual de desconto superior</w:t>
      </w:r>
      <w:r>
        <w:rPr>
          <w:rFonts w:ascii="Times New Roman" w:hAnsi="Times New Roman" w:cs="Times New Roman"/>
          <w:color w:val="auto"/>
          <w:sz w:val="24"/>
          <w:szCs w:val="24"/>
        </w:rPr>
        <w:t xml:space="preserve"> </w:t>
      </w:r>
      <w:r>
        <w:rPr>
          <w:rFonts w:ascii="Times New Roman" w:hAnsi="Times New Roman" w:cs="Times New Roman"/>
          <w:sz w:val="24"/>
          <w:szCs w:val="24"/>
        </w:rPr>
        <w:t xml:space="preserve">ao último por ele ofertado e registrado pelo sistema. </w:t>
      </w:r>
    </w:p>
    <w:p w14:paraId="6C072A8D">
      <w:pPr>
        <w:pStyle w:val="99"/>
        <w:spacing w:before="288" w:beforeLines="120" w:after="288" w:afterLines="120" w:line="288" w:lineRule="auto"/>
        <w:ind w:left="0" w:firstLine="0"/>
        <w:contextualSpacing/>
        <w:rPr>
          <w:rFonts w:ascii="Times New Roman" w:hAnsi="Times New Roman" w:cs="Times New Roman"/>
          <w:sz w:val="24"/>
          <w:szCs w:val="24"/>
        </w:rPr>
      </w:pPr>
    </w:p>
    <w:p w14:paraId="69F846A6">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6.8 O intervalo mínimo de diferença de valores ou percentuais entre os lances, que incidirá tanto em relação aos lances intermediários quanto em relação à proposta que cobrir a melhor oferta, deverá </w:t>
      </w:r>
      <w:r>
        <w:rPr>
          <w:rFonts w:ascii="Times New Roman" w:hAnsi="Times New Roman" w:cs="Times New Roman"/>
          <w:color w:val="auto"/>
          <w:sz w:val="24"/>
          <w:szCs w:val="24"/>
        </w:rPr>
        <w:t>ser de 0,01(um centavo)</w:t>
      </w:r>
      <w:r>
        <w:rPr>
          <w:rFonts w:ascii="Times New Roman" w:hAnsi="Times New Roman" w:cs="Times New Roman"/>
          <w:i/>
          <w:iCs/>
          <w:sz w:val="24"/>
          <w:szCs w:val="24"/>
        </w:rPr>
        <w:t>.</w:t>
      </w:r>
    </w:p>
    <w:p w14:paraId="74BB5001">
      <w:pPr>
        <w:pStyle w:val="99"/>
        <w:spacing w:before="288" w:beforeLines="120" w:after="288" w:afterLines="120" w:line="288" w:lineRule="auto"/>
        <w:ind w:left="0" w:firstLine="0"/>
        <w:contextualSpacing/>
        <w:rPr>
          <w:rFonts w:ascii="Times New Roman" w:hAnsi="Times New Roman" w:cs="Times New Roman"/>
          <w:color w:val="FF0000"/>
          <w:sz w:val="24"/>
          <w:szCs w:val="24"/>
        </w:rPr>
      </w:pPr>
    </w:p>
    <w:p w14:paraId="50F92050">
      <w:pPr>
        <w:pStyle w:val="99"/>
        <w:spacing w:before="288" w:beforeLines="120" w:after="288" w:afterLines="120" w:line="288" w:lineRule="auto"/>
        <w:ind w:left="0" w:firstLine="0"/>
        <w:contextualSpacing/>
        <w:rPr>
          <w:rFonts w:ascii="Times New Roman" w:hAnsi="Times New Roman" w:cs="Times New Roman"/>
          <w:color w:val="FF0000"/>
          <w:sz w:val="24"/>
          <w:szCs w:val="24"/>
        </w:rPr>
      </w:pPr>
      <w:r>
        <w:rPr>
          <w:rFonts w:ascii="Times New Roman" w:hAnsi="Times New Roman" w:cs="Times New Roman"/>
          <w:color w:val="auto"/>
          <w:sz w:val="24"/>
          <w:szCs w:val="24"/>
        </w:rPr>
        <w:t>6.9</w:t>
      </w:r>
      <w:r>
        <w:rPr>
          <w:rFonts w:ascii="Times New Roman" w:hAnsi="Times New Roman" w:cs="Times New Roman"/>
          <w:color w:val="FF0000"/>
          <w:sz w:val="24"/>
          <w:szCs w:val="24"/>
        </w:rPr>
        <w:t xml:space="preserve"> </w:t>
      </w:r>
      <w:r>
        <w:rPr>
          <w:rFonts w:ascii="Times New Roman" w:hAnsi="Times New Roman" w:cs="Times New Roman"/>
          <w:color w:val="auto"/>
          <w:sz w:val="24"/>
          <w:szCs w:val="24"/>
        </w:rPr>
        <w:t xml:space="preserve">Em caso de erro material, ao licitante será concedida a possibilidade de enviar solicitação de cancelamento do seu lance durante a realização da etapa de lances da sessão pública, que poderá ser aceita ou não pelo Pregoeiro. </w:t>
      </w:r>
    </w:p>
    <w:p w14:paraId="005970E9">
      <w:pPr>
        <w:pStyle w:val="99"/>
        <w:spacing w:before="288" w:beforeLines="120" w:after="288" w:afterLines="120" w:line="288" w:lineRule="auto"/>
        <w:ind w:left="0" w:firstLine="0"/>
        <w:contextualSpacing/>
        <w:rPr>
          <w:rFonts w:ascii="Times New Roman" w:hAnsi="Times New Roman" w:cs="Times New Roman"/>
          <w:color w:val="FF0000"/>
          <w:sz w:val="24"/>
          <w:szCs w:val="24"/>
        </w:rPr>
      </w:pPr>
    </w:p>
    <w:p w14:paraId="024D57F1">
      <w:pPr>
        <w:pStyle w:val="99"/>
        <w:spacing w:before="288" w:beforeLines="120" w:after="288" w:afterLines="120" w:line="288" w:lineRule="auto"/>
        <w:ind w:left="0" w:right="-2"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6.9.1 O licitante poderá, uma única vez, excluir seu último lance ofertado, no intervalo de quinze segundos após o registro no sistema, na hipótese de lance inconsistente ou inexequível.</w:t>
      </w:r>
    </w:p>
    <w:p w14:paraId="6C335BFE">
      <w:pPr>
        <w:pStyle w:val="99"/>
        <w:spacing w:before="288" w:beforeLines="120" w:after="288" w:afterLines="120" w:line="288" w:lineRule="auto"/>
        <w:ind w:left="567" w:right="565" w:firstLine="0"/>
        <w:contextualSpacing/>
        <w:rPr>
          <w:rFonts w:ascii="Times New Roman" w:hAnsi="Times New Roman" w:cs="Times New Roman"/>
          <w:sz w:val="24"/>
          <w:szCs w:val="24"/>
        </w:rPr>
      </w:pPr>
    </w:p>
    <w:p w14:paraId="095D0445">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6.10 O procedimento seguirá de acordo com o modo de disputa adotado.</w:t>
      </w:r>
    </w:p>
    <w:p w14:paraId="507978FF">
      <w:pPr>
        <w:pStyle w:val="120"/>
        <w:spacing w:after="0" w:line="288" w:lineRule="auto"/>
        <w:ind w:left="0" w:right="565"/>
        <w:contextualSpacing/>
        <w:rPr>
          <w:rFonts w:ascii="Times New Roman" w:hAnsi="Times New Roman" w:cs="Times New Roman"/>
          <w:color w:val="000000" w:themeColor="text1"/>
          <w:sz w:val="24"/>
          <w:szCs w:val="24"/>
          <w14:textFill>
            <w14:solidFill>
              <w14:schemeClr w14:val="tx1"/>
            </w14:solidFill>
          </w14:textFill>
        </w:rPr>
      </w:pPr>
      <w:bookmarkStart w:id="24" w:name="_Hlk113631522"/>
      <w:r>
        <w:rPr>
          <w:rFonts w:ascii="Times New Roman" w:hAnsi="Times New Roman" w:cs="Times New Roman"/>
          <w:color w:val="000000" w:themeColor="text1"/>
          <w:sz w:val="24"/>
          <w:szCs w:val="24"/>
          <w14:textFill>
            <w14:solidFill>
              <w14:schemeClr w14:val="tx1"/>
            </w14:solidFill>
          </w14:textFill>
        </w:rPr>
        <w:t>6.11 O envio de lances no pregão eletrônico se dará pelo modo de disputa “aberto e fechado”, devendo os licitantes apresentar lances públicos e sucessivos, com lance final e fechado.</w:t>
      </w:r>
    </w:p>
    <w:p w14:paraId="5F23B5BD">
      <w:pPr>
        <w:pStyle w:val="120"/>
        <w:spacing w:after="0" w:line="288" w:lineRule="auto"/>
        <w:ind w:left="0" w:right="565"/>
        <w:contextualSpacing/>
        <w:rPr>
          <w:rFonts w:ascii="Times New Roman" w:hAnsi="Times New Roman" w:cs="Times New Roman"/>
          <w:color w:val="000000" w:themeColor="text1"/>
          <w:sz w:val="24"/>
          <w:szCs w:val="24"/>
          <w14:textFill>
            <w14:solidFill>
              <w14:schemeClr w14:val="tx1"/>
            </w14:solidFill>
          </w14:textFill>
        </w:rPr>
      </w:pPr>
    </w:p>
    <w:p w14:paraId="77FFEB19">
      <w:pPr>
        <w:pStyle w:val="120"/>
        <w:spacing w:after="0" w:line="288" w:lineRule="auto"/>
        <w:ind w:left="0" w:right="565"/>
        <w:contextualSpacing/>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6.11.1 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14:paraId="2FEB1D50">
      <w:pPr>
        <w:pStyle w:val="120"/>
        <w:spacing w:after="0" w:line="288" w:lineRule="auto"/>
        <w:ind w:left="0" w:right="565"/>
        <w:contextualSpacing/>
        <w:rPr>
          <w:rFonts w:ascii="Times New Roman" w:hAnsi="Times New Roman" w:cs="Times New Roman"/>
          <w:color w:val="000000" w:themeColor="text1"/>
          <w:sz w:val="24"/>
          <w:szCs w:val="24"/>
          <w14:textFill>
            <w14:solidFill>
              <w14:schemeClr w14:val="tx1"/>
            </w14:solidFill>
          </w14:textFill>
        </w:rPr>
      </w:pPr>
    </w:p>
    <w:p w14:paraId="69D04A05">
      <w:pPr>
        <w:pStyle w:val="120"/>
        <w:spacing w:after="0" w:line="288" w:lineRule="auto"/>
        <w:ind w:left="0" w:right="565"/>
        <w:contextualSpacing/>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6.11.2 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14:paraId="76B4985A">
      <w:pPr>
        <w:pStyle w:val="120"/>
        <w:spacing w:after="0" w:line="288" w:lineRule="auto"/>
        <w:ind w:left="0" w:right="565"/>
        <w:contextualSpacing/>
        <w:rPr>
          <w:rFonts w:ascii="Times New Roman" w:hAnsi="Times New Roman" w:cs="Times New Roman"/>
          <w:color w:val="000000" w:themeColor="text1"/>
          <w:sz w:val="24"/>
          <w:szCs w:val="24"/>
          <w14:textFill>
            <w14:solidFill>
              <w14:schemeClr w14:val="tx1"/>
            </w14:solidFill>
          </w14:textFill>
        </w:rPr>
      </w:pPr>
    </w:p>
    <w:p w14:paraId="09459C2D">
      <w:pPr>
        <w:pStyle w:val="120"/>
        <w:spacing w:after="0" w:line="288" w:lineRule="auto"/>
        <w:ind w:left="0" w:right="565"/>
        <w:contextualSpacing/>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6.11.3 No procedimento de que trata o subitem supra, o licitante poderá optar por manter o seu último lance da etapa aberta, ou por ofertar melhor lance.</w:t>
      </w:r>
    </w:p>
    <w:p w14:paraId="4E8517FA">
      <w:pPr>
        <w:pStyle w:val="120"/>
        <w:spacing w:after="0" w:line="288" w:lineRule="auto"/>
        <w:ind w:left="0" w:right="565"/>
        <w:contextualSpacing/>
        <w:rPr>
          <w:rFonts w:ascii="Times New Roman" w:hAnsi="Times New Roman" w:cs="Times New Roman"/>
          <w:color w:val="000000" w:themeColor="text1"/>
          <w:sz w:val="24"/>
          <w:szCs w:val="24"/>
          <w14:textFill>
            <w14:solidFill>
              <w14:schemeClr w14:val="tx1"/>
            </w14:solidFill>
          </w14:textFill>
        </w:rPr>
      </w:pPr>
    </w:p>
    <w:p w14:paraId="62F5C369">
      <w:pPr>
        <w:pStyle w:val="120"/>
        <w:spacing w:after="0" w:line="288" w:lineRule="auto"/>
        <w:ind w:left="0" w:right="565"/>
        <w:contextualSpacing/>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6.11.4 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09567B13">
      <w:pPr>
        <w:pStyle w:val="120"/>
        <w:tabs>
          <w:tab w:val="left" w:pos="8080"/>
        </w:tabs>
        <w:spacing w:after="0" w:line="288" w:lineRule="auto"/>
        <w:ind w:left="0" w:right="565"/>
        <w:contextualSpacing/>
        <w:rPr>
          <w:rFonts w:ascii="Times New Roman" w:hAnsi="Times New Roman" w:cs="Times New Roman"/>
          <w:color w:val="000000" w:themeColor="text1"/>
          <w:sz w:val="24"/>
          <w:szCs w:val="24"/>
          <w14:textFill>
            <w14:solidFill>
              <w14:schemeClr w14:val="tx1"/>
            </w14:solidFill>
          </w14:textFill>
        </w:rPr>
      </w:pPr>
    </w:p>
    <w:p w14:paraId="55BC38E8">
      <w:pPr>
        <w:pStyle w:val="120"/>
        <w:tabs>
          <w:tab w:val="left" w:pos="8080"/>
        </w:tabs>
        <w:spacing w:after="0" w:line="288" w:lineRule="auto"/>
        <w:ind w:left="0" w:right="565"/>
        <w:contextualSpacing/>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6.11.5 Após o término dos prazos estabelecidos nos itens anteriores, o sistema ordenará e divulgará os lances segundo a ordem crescente de valores.</w:t>
      </w:r>
    </w:p>
    <w:p w14:paraId="30DFEE2E">
      <w:pPr>
        <w:pStyle w:val="120"/>
        <w:spacing w:line="288" w:lineRule="auto"/>
        <w:ind w:left="567" w:right="565"/>
        <w:contextualSpacing/>
        <w:rPr>
          <w:rFonts w:ascii="Times New Roman" w:hAnsi="Times New Roman" w:cs="Times New Roman"/>
          <w:color w:val="FF0000"/>
          <w:sz w:val="24"/>
          <w:szCs w:val="24"/>
        </w:rPr>
      </w:pPr>
    </w:p>
    <w:bookmarkEnd w:id="24"/>
    <w:p w14:paraId="19C122A5">
      <w:pPr>
        <w:pStyle w:val="120"/>
        <w:spacing w:line="288" w:lineRule="auto"/>
        <w:ind w:left="0"/>
        <w:contextualSpacing/>
        <w:rPr>
          <w:rFonts w:ascii="Times New Roman" w:hAnsi="Times New Roman" w:cs="Times New Roman"/>
          <w:i/>
          <w:sz w:val="24"/>
          <w:szCs w:val="24"/>
        </w:rPr>
      </w:pPr>
      <w:r>
        <w:rPr>
          <w:rFonts w:ascii="Times New Roman" w:hAnsi="Times New Roman" w:cs="Times New Roman"/>
          <w:sz w:val="24"/>
          <w:szCs w:val="24"/>
        </w:rPr>
        <w:t>6.12 Após o término dos prazos estabelecidos nos subitens anteriores, o sistema ordenará e divulgará os lances segundo a ordem crescente de valores</w:t>
      </w:r>
      <w:r>
        <w:rPr>
          <w:rFonts w:ascii="Times New Roman" w:hAnsi="Times New Roman" w:cs="Times New Roman"/>
          <w:i/>
          <w:iCs/>
          <w:sz w:val="24"/>
          <w:szCs w:val="24"/>
        </w:rPr>
        <w:t>.</w:t>
      </w:r>
    </w:p>
    <w:p w14:paraId="215AD5CE">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6.13 Não serão aceitos dois ou mais lances de mesmo valor, prevalecendo aquele que for recebido e registrado em primeiro lugar. </w:t>
      </w:r>
    </w:p>
    <w:p w14:paraId="34C90CB7">
      <w:pPr>
        <w:pStyle w:val="99"/>
        <w:spacing w:before="288" w:beforeLines="120" w:after="288" w:afterLines="120" w:line="288" w:lineRule="auto"/>
        <w:ind w:left="0" w:firstLine="0"/>
        <w:contextualSpacing/>
        <w:rPr>
          <w:rFonts w:ascii="Times New Roman" w:hAnsi="Times New Roman" w:cs="Times New Roman"/>
          <w:sz w:val="24"/>
          <w:szCs w:val="24"/>
        </w:rPr>
      </w:pPr>
    </w:p>
    <w:p w14:paraId="1FF989E5">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6.14 Durante o transcurso da sessão pública, os licitantes serão informados, em tempo real, do valor do menor lance registrado, vedada a identificação do licitante. </w:t>
      </w:r>
    </w:p>
    <w:p w14:paraId="432BDF9F">
      <w:pPr>
        <w:pStyle w:val="99"/>
        <w:spacing w:before="288" w:beforeLines="120" w:after="288" w:afterLines="120" w:line="288" w:lineRule="auto"/>
        <w:ind w:left="0" w:firstLine="0"/>
        <w:contextualSpacing/>
        <w:rPr>
          <w:rFonts w:ascii="Times New Roman" w:hAnsi="Times New Roman" w:cs="Times New Roman"/>
          <w:sz w:val="24"/>
          <w:szCs w:val="24"/>
        </w:rPr>
      </w:pPr>
    </w:p>
    <w:p w14:paraId="052EB0E8">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6.15 No caso de desconexão com o Pregoeiro, no decorrer da etapa competitiva do Pregão, o sistema eletrônico poderá permanecer acessível aos licitantes para a recepção dos lances. </w:t>
      </w:r>
    </w:p>
    <w:p w14:paraId="6B455519">
      <w:pPr>
        <w:pStyle w:val="99"/>
        <w:spacing w:before="288" w:beforeLines="120" w:after="288" w:afterLines="120" w:line="288" w:lineRule="auto"/>
        <w:ind w:left="0" w:firstLine="0"/>
        <w:contextualSpacing/>
        <w:rPr>
          <w:rFonts w:ascii="Times New Roman" w:hAnsi="Times New Roman" w:cs="Times New Roman"/>
          <w:sz w:val="24"/>
          <w:szCs w:val="24"/>
        </w:rPr>
      </w:pPr>
    </w:p>
    <w:p w14:paraId="5DDE8F59">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6.16 Quando a desconexão do sistema eletrônico para o Pregoeiro persistir por tempo superior a dez minutos, a sessão pública será suspensa e reiniciada somente após decorridas vinte e quatro horas da comunicação do fato pelo Pregoeiro aos participantes, quando houver, no sítio eletrônico utilizado para divulgação.</w:t>
      </w:r>
    </w:p>
    <w:p w14:paraId="3E2E3F7F">
      <w:pPr>
        <w:pStyle w:val="99"/>
        <w:spacing w:before="288" w:beforeLines="120" w:after="288" w:afterLines="120" w:line="288" w:lineRule="auto"/>
        <w:ind w:left="0" w:firstLine="0"/>
        <w:contextualSpacing/>
        <w:rPr>
          <w:rFonts w:ascii="Times New Roman" w:hAnsi="Times New Roman" w:cs="Times New Roman"/>
          <w:sz w:val="24"/>
          <w:szCs w:val="24"/>
        </w:rPr>
      </w:pPr>
    </w:p>
    <w:p w14:paraId="0F46AFC6">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6.17 Caso o licitante não apresente lances, concorrerá com o valor de sua proposta.</w:t>
      </w:r>
    </w:p>
    <w:p w14:paraId="25D20118">
      <w:pPr>
        <w:pStyle w:val="99"/>
        <w:spacing w:before="288" w:beforeLines="120" w:after="288" w:afterLines="120" w:line="288" w:lineRule="auto"/>
        <w:ind w:left="0" w:firstLine="0"/>
        <w:contextualSpacing/>
        <w:rPr>
          <w:rFonts w:ascii="Times New Roman" w:hAnsi="Times New Roman" w:cs="Times New Roman"/>
          <w:color w:val="FF0000"/>
          <w:sz w:val="24"/>
          <w:szCs w:val="24"/>
        </w:rPr>
      </w:pPr>
    </w:p>
    <w:p w14:paraId="0480B81C">
      <w:pPr>
        <w:pStyle w:val="99"/>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6.18 Em relação a itens não exclusivos para participação de microempresas e empresas de pequeno porte, uma vez encerrada a etapa de lances</w:t>
      </w:r>
      <w:r>
        <w:rPr>
          <w:rFonts w:ascii="Times New Roman" w:hAnsi="Times New Roman" w:eastAsia="Zurich BT" w:cs="Times New Roman"/>
          <w:color w:val="auto"/>
          <w:sz w:val="24"/>
          <w:szCs w:val="24"/>
        </w:rPr>
        <w:t xml:space="preserve">, será efetivada a verificação das microempresas e empresas de pequeno porte participantes, procedendo à comparação com os valores da primeira colocada, se esta for empresa de maior porte, assim como das demais classificadas, para o fim de aplicar-se o disposto nos </w:t>
      </w:r>
      <w:r>
        <w:fldChar w:fldCharType="begin"/>
      </w:r>
      <w:r>
        <w:instrText xml:space="preserve"> HYPERLINK "https://www.planalto.gov.br/ccivil_03/leis/lcp/lcp123.htm" \l "art44" </w:instrText>
      </w:r>
      <w:r>
        <w:fldChar w:fldCharType="separate"/>
      </w:r>
      <w:r>
        <w:rPr>
          <w:rStyle w:val="16"/>
          <w:rFonts w:ascii="Times New Roman" w:hAnsi="Times New Roman" w:eastAsia="Zurich BT" w:cs="Times New Roman"/>
          <w:color w:val="auto"/>
          <w:sz w:val="24"/>
          <w:szCs w:val="24"/>
        </w:rPr>
        <w:t>arts. 44 e 45 da Lei Complementar nº 123/2006</w:t>
      </w:r>
      <w:r>
        <w:rPr>
          <w:rStyle w:val="16"/>
          <w:rFonts w:ascii="Times New Roman" w:hAnsi="Times New Roman" w:eastAsia="Zurich BT" w:cs="Times New Roman"/>
          <w:color w:val="auto"/>
          <w:sz w:val="24"/>
          <w:szCs w:val="24"/>
        </w:rPr>
        <w:fldChar w:fldCharType="end"/>
      </w:r>
      <w:r>
        <w:rPr>
          <w:rFonts w:ascii="Times New Roman" w:hAnsi="Times New Roman" w:eastAsia="Zurich BT" w:cs="Times New Roman"/>
          <w:color w:val="auto"/>
          <w:sz w:val="24"/>
          <w:szCs w:val="24"/>
        </w:rPr>
        <w:t xml:space="preserve">, regulamentada pelo </w:t>
      </w:r>
      <w:r>
        <w:rPr>
          <w:rFonts w:ascii="Times New Roman" w:hAnsi="Times New Roman" w:cs="Times New Roman"/>
          <w:sz w:val="24"/>
          <w:szCs w:val="24"/>
        </w:rPr>
        <w:t>Lei Municipal nº 2367/2007.</w:t>
      </w:r>
    </w:p>
    <w:p w14:paraId="5923BB19">
      <w:pPr>
        <w:pStyle w:val="99"/>
        <w:spacing w:before="288" w:beforeLines="120" w:after="288" w:afterLines="120" w:line="288" w:lineRule="auto"/>
        <w:ind w:left="0" w:firstLine="0"/>
        <w:contextualSpacing/>
        <w:rPr>
          <w:rFonts w:ascii="Times New Roman" w:hAnsi="Times New Roman" w:cs="Times New Roman"/>
          <w:color w:val="auto"/>
          <w:sz w:val="24"/>
          <w:szCs w:val="24"/>
        </w:rPr>
      </w:pPr>
    </w:p>
    <w:p w14:paraId="4ACD9F60">
      <w:pPr>
        <w:pStyle w:val="99"/>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 xml:space="preserve">6.18 Em relação a itens não exclusivos para participação de microempresas e empresas de pequeno porte, uma vez encerrada a etapa de lances,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arts. 44 e 45 da Lei Complementar nº 123/2006, </w:t>
      </w:r>
      <w:r>
        <w:rPr>
          <w:rFonts w:ascii="Times New Roman" w:hAnsi="Times New Roman" w:eastAsia="Zurich BT" w:cs="Times New Roman"/>
          <w:color w:val="auto"/>
          <w:sz w:val="24"/>
          <w:szCs w:val="24"/>
        </w:rPr>
        <w:t xml:space="preserve">regulamentada pelo </w:t>
      </w:r>
      <w:r>
        <w:rPr>
          <w:rFonts w:ascii="Times New Roman" w:hAnsi="Times New Roman" w:cs="Times New Roman"/>
          <w:sz w:val="24"/>
          <w:szCs w:val="24"/>
        </w:rPr>
        <w:t>Lei Municipal nº 2367/2007.</w:t>
      </w:r>
    </w:p>
    <w:p w14:paraId="4D67F1ED">
      <w:pPr>
        <w:pStyle w:val="99"/>
        <w:spacing w:before="288" w:beforeLines="120" w:after="288" w:afterLines="120" w:line="288" w:lineRule="auto"/>
        <w:ind w:left="0" w:firstLine="0"/>
        <w:contextualSpacing/>
        <w:rPr>
          <w:rFonts w:ascii="Times New Roman" w:hAnsi="Times New Roman" w:cs="Times New Roman"/>
          <w:color w:val="auto"/>
          <w:sz w:val="24"/>
          <w:szCs w:val="24"/>
        </w:rPr>
      </w:pPr>
    </w:p>
    <w:p w14:paraId="27B8F8F3">
      <w:pPr>
        <w:pStyle w:val="99"/>
        <w:spacing w:before="288" w:beforeLines="120" w:after="288" w:afterLines="120" w:line="288" w:lineRule="auto"/>
        <w:ind w:left="0" w:right="-2" w:firstLine="0"/>
        <w:contextualSpacing/>
        <w:rPr>
          <w:rFonts w:ascii="Times New Roman" w:hAnsi="Times New Roman" w:cs="Times New Roman"/>
          <w:sz w:val="24"/>
          <w:szCs w:val="24"/>
        </w:rPr>
      </w:pPr>
    </w:p>
    <w:p w14:paraId="7E3352AC">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6.18.1 Nessas condições, as propostas de </w:t>
      </w:r>
      <w:r>
        <w:rPr>
          <w:rFonts w:ascii="Times New Roman" w:hAnsi="Times New Roman" w:eastAsia="Zurich BT" w:cs="Times New Roman"/>
          <w:sz w:val="24"/>
          <w:szCs w:val="24"/>
        </w:rPr>
        <w:t xml:space="preserve">microempresas e empresas de pequeno porte </w:t>
      </w:r>
      <w:r>
        <w:rPr>
          <w:rFonts w:ascii="Times New Roman" w:hAnsi="Times New Roman" w:cs="Times New Roman"/>
          <w:sz w:val="24"/>
          <w:szCs w:val="24"/>
        </w:rPr>
        <w:t>que se encontrarem na faixa de até 5% (cinco por cento) acima da melhor proposta ou melhor lance serão consideradas empatadas com a primeira colocada.</w:t>
      </w:r>
    </w:p>
    <w:p w14:paraId="11F78CDE">
      <w:pPr>
        <w:pStyle w:val="103"/>
        <w:spacing w:before="288" w:beforeLines="120" w:after="288" w:afterLines="120" w:line="288" w:lineRule="auto"/>
        <w:ind w:left="0" w:firstLine="0"/>
        <w:contextualSpacing/>
        <w:rPr>
          <w:rFonts w:ascii="Times New Roman" w:hAnsi="Times New Roman" w:cs="Times New Roman"/>
          <w:sz w:val="24"/>
          <w:szCs w:val="24"/>
        </w:rPr>
      </w:pPr>
    </w:p>
    <w:p w14:paraId="60E3E834">
      <w:pPr>
        <w:pStyle w:val="10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6.18.2 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224FFEA4">
      <w:pPr>
        <w:pStyle w:val="103"/>
        <w:spacing w:before="288" w:beforeLines="120" w:after="288" w:afterLines="120" w:line="288" w:lineRule="auto"/>
        <w:ind w:left="0" w:firstLine="0"/>
        <w:contextualSpacing/>
        <w:rPr>
          <w:rFonts w:ascii="Times New Roman" w:hAnsi="Times New Roman" w:cs="Times New Roman"/>
          <w:sz w:val="24"/>
          <w:szCs w:val="24"/>
        </w:rPr>
      </w:pPr>
    </w:p>
    <w:p w14:paraId="71E894B2">
      <w:pPr>
        <w:pStyle w:val="10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6.18.3 Caso a </w:t>
      </w:r>
      <w:r>
        <w:rPr>
          <w:rFonts w:ascii="Times New Roman" w:hAnsi="Times New Roman" w:eastAsia="Zurich BT" w:cs="Times New Roman"/>
          <w:sz w:val="24"/>
          <w:szCs w:val="24"/>
        </w:rPr>
        <w:t>microempresa ou a empresa de pequeno porte</w:t>
      </w:r>
      <w:r>
        <w:rPr>
          <w:rFonts w:ascii="Times New Roman" w:hAnsi="Times New Roman" w:cs="Times New Roman"/>
          <w:sz w:val="24"/>
          <w:szCs w:val="24"/>
        </w:rPr>
        <w:t xml:space="preserve"> melhor classificada desista ou não se manifeste no prazo estabelecido, serão convocadas as demais licitantes </w:t>
      </w:r>
      <w:r>
        <w:rPr>
          <w:rFonts w:ascii="Times New Roman" w:hAnsi="Times New Roman" w:eastAsia="Zurich BT" w:cs="Times New Roman"/>
          <w:sz w:val="24"/>
          <w:szCs w:val="24"/>
        </w:rPr>
        <w:t>microempresa e empresa de pequeno porte</w:t>
      </w:r>
      <w:r>
        <w:rPr>
          <w:rFonts w:ascii="Times New Roman" w:hAnsi="Times New Roman" w:cs="Times New Roman"/>
          <w:sz w:val="24"/>
          <w:szCs w:val="24"/>
        </w:rPr>
        <w:t xml:space="preserve"> que se encontrem naquele intervalo de 5% (cinco por cento), na ordem de classificação, para o exercício do mesmo direito, no prazo estabelecido no subitem anterior.</w:t>
      </w:r>
    </w:p>
    <w:p w14:paraId="029D5692">
      <w:pPr>
        <w:pStyle w:val="99"/>
        <w:spacing w:before="288" w:beforeLines="120" w:after="288" w:afterLines="120" w:line="288" w:lineRule="auto"/>
        <w:ind w:left="0" w:right="-2"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6.18.4 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690ED3B6">
      <w:pPr>
        <w:pStyle w:val="99"/>
        <w:spacing w:before="288" w:beforeLines="120" w:after="288" w:afterLines="120" w:line="288" w:lineRule="auto"/>
        <w:ind w:left="0" w:firstLine="0"/>
        <w:contextualSpacing/>
        <w:rPr>
          <w:rFonts w:ascii="Times New Roman" w:hAnsi="Times New Roman" w:cs="Times New Roman"/>
          <w:sz w:val="24"/>
          <w:szCs w:val="24"/>
        </w:rPr>
      </w:pPr>
    </w:p>
    <w:p w14:paraId="78DCE18E">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6.19 Só poderá haver empate entre propostas iguais (não seguidas de lances) ou entre lances finais da fase fechada do modo de disputa aberto e fechado. </w:t>
      </w:r>
    </w:p>
    <w:p w14:paraId="4CC5FFC5">
      <w:pPr>
        <w:pStyle w:val="10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6.19.1 Havendo eventual empate entre propostas ou lances, o critério de desempate será o abaixo previsto, nesta ordem:</w:t>
      </w:r>
    </w:p>
    <w:p w14:paraId="62F1F3B8">
      <w:pPr>
        <w:pStyle w:val="103"/>
        <w:spacing w:before="288" w:beforeLines="120" w:after="288" w:afterLines="120" w:line="288" w:lineRule="auto"/>
        <w:ind w:left="0" w:firstLine="0"/>
        <w:contextualSpacing/>
        <w:jc w:val="left"/>
        <w:rPr>
          <w:rFonts w:ascii="Times New Roman" w:hAnsi="Times New Roman" w:cs="Times New Roman"/>
          <w:color w:val="auto"/>
          <w:sz w:val="24"/>
          <w:szCs w:val="24"/>
        </w:rPr>
      </w:pPr>
      <w:r>
        <w:rPr>
          <w:rFonts w:ascii="Times New Roman" w:hAnsi="Times New Roman" w:cs="Times New Roman"/>
          <w:color w:val="333333"/>
          <w:sz w:val="24"/>
          <w:szCs w:val="24"/>
        </w:rPr>
        <w:br w:type="textWrapping"/>
      </w:r>
      <w:r>
        <w:rPr>
          <w:rFonts w:ascii="Times New Roman" w:hAnsi="Times New Roman" w:cs="Times New Roman"/>
          <w:color w:val="auto"/>
          <w:sz w:val="24"/>
          <w:szCs w:val="24"/>
          <w:shd w:val="clear" w:color="auto" w:fill="F5F5F5"/>
        </w:rPr>
        <w:t>I - contratação de microempresas e empresas de pequeno porte, nos termos dos arts. 44 e 45 da Lei Complementar nº </w:t>
      </w:r>
      <w:r>
        <w:fldChar w:fldCharType="begin"/>
      </w:r>
      <w:r>
        <w:instrText xml:space="preserve"> HYPERLINK "http://www.planalto.gov.br/ccivil_03/leis/lcp/lcp123.htm" </w:instrText>
      </w:r>
      <w:r>
        <w:fldChar w:fldCharType="separate"/>
      </w:r>
      <w:r>
        <w:rPr>
          <w:rStyle w:val="16"/>
          <w:rFonts w:ascii="Times New Roman" w:hAnsi="Times New Roman" w:cs="Times New Roman" w:eastAsiaTheme="minorHAnsi"/>
          <w:color w:val="auto"/>
          <w:sz w:val="24"/>
          <w:szCs w:val="24"/>
          <w:shd w:val="clear" w:color="auto" w:fill="F5F5F5"/>
        </w:rPr>
        <w:t>123</w:t>
      </w:r>
      <w:r>
        <w:rPr>
          <w:rStyle w:val="16"/>
          <w:rFonts w:ascii="Times New Roman" w:hAnsi="Times New Roman" w:cs="Times New Roman" w:eastAsiaTheme="minorHAnsi"/>
          <w:color w:val="auto"/>
          <w:sz w:val="24"/>
          <w:szCs w:val="24"/>
          <w:shd w:val="clear" w:color="auto" w:fill="F5F5F5"/>
        </w:rPr>
        <w:fldChar w:fldCharType="end"/>
      </w:r>
      <w:r>
        <w:rPr>
          <w:rFonts w:ascii="Times New Roman" w:hAnsi="Times New Roman" w:cs="Times New Roman"/>
          <w:color w:val="auto"/>
          <w:sz w:val="24"/>
          <w:szCs w:val="24"/>
          <w:shd w:val="clear" w:color="auto" w:fill="F5F5F5"/>
        </w:rPr>
        <w:t>, de 14 de dezembro de 2006, observado o disposto no art. 4º da Lei nº </w:t>
      </w:r>
      <w:r>
        <w:fldChar w:fldCharType="begin"/>
      </w:r>
      <w:r>
        <w:instrText xml:space="preserve"> HYPERLINK "http://www.planalto.gov.br/ccivil_03/_ato2019-2022/2021/lei/L14133.htm" </w:instrText>
      </w:r>
      <w:r>
        <w:fldChar w:fldCharType="separate"/>
      </w:r>
      <w:r>
        <w:rPr>
          <w:rStyle w:val="16"/>
          <w:rFonts w:ascii="Times New Roman" w:hAnsi="Times New Roman" w:cs="Times New Roman" w:eastAsiaTheme="minorHAnsi"/>
          <w:color w:val="auto"/>
          <w:sz w:val="24"/>
          <w:szCs w:val="24"/>
          <w:shd w:val="clear" w:color="auto" w:fill="F5F5F5"/>
        </w:rPr>
        <w:t>14.133</w:t>
      </w:r>
      <w:r>
        <w:rPr>
          <w:rStyle w:val="16"/>
          <w:rFonts w:ascii="Times New Roman" w:hAnsi="Times New Roman" w:cs="Times New Roman" w:eastAsiaTheme="minorHAnsi"/>
          <w:color w:val="auto"/>
          <w:sz w:val="24"/>
          <w:szCs w:val="24"/>
          <w:shd w:val="clear" w:color="auto" w:fill="F5F5F5"/>
        </w:rPr>
        <w:fldChar w:fldCharType="end"/>
      </w:r>
      <w:r>
        <w:rPr>
          <w:rFonts w:ascii="Times New Roman" w:hAnsi="Times New Roman" w:cs="Times New Roman"/>
          <w:color w:val="auto"/>
          <w:sz w:val="24"/>
          <w:szCs w:val="24"/>
          <w:shd w:val="clear" w:color="auto" w:fill="F5F5F5"/>
        </w:rPr>
        <w:t>, de 2021;</w:t>
      </w:r>
      <w:r>
        <w:rPr>
          <w:rFonts w:ascii="Times New Roman" w:hAnsi="Times New Roman" w:cs="Times New Roman"/>
          <w:color w:val="auto"/>
          <w:sz w:val="24"/>
          <w:szCs w:val="24"/>
        </w:rPr>
        <w:br w:type="textWrapping"/>
      </w:r>
      <w:r>
        <w:rPr>
          <w:rFonts w:ascii="Times New Roman" w:hAnsi="Times New Roman" w:cs="Times New Roman"/>
          <w:color w:val="auto"/>
          <w:sz w:val="24"/>
          <w:szCs w:val="24"/>
        </w:rPr>
        <w:br w:type="textWrapping"/>
      </w:r>
      <w:r>
        <w:rPr>
          <w:rFonts w:ascii="Times New Roman" w:hAnsi="Times New Roman" w:cs="Times New Roman"/>
          <w:color w:val="auto"/>
          <w:sz w:val="24"/>
          <w:szCs w:val="24"/>
          <w:shd w:val="clear" w:color="auto" w:fill="F5F5F5"/>
        </w:rPr>
        <w:t>II - disputa final, hipótese em que os licitantes empatados poderão apresentar nova proposta em ato contínuo à classificação;</w:t>
      </w:r>
      <w:r>
        <w:rPr>
          <w:rFonts w:ascii="Times New Roman" w:hAnsi="Times New Roman" w:cs="Times New Roman"/>
          <w:color w:val="auto"/>
          <w:sz w:val="24"/>
          <w:szCs w:val="24"/>
        </w:rPr>
        <w:br w:type="textWrapping"/>
      </w:r>
      <w:r>
        <w:rPr>
          <w:rFonts w:ascii="Times New Roman" w:hAnsi="Times New Roman" w:cs="Times New Roman"/>
          <w:color w:val="auto"/>
          <w:sz w:val="24"/>
          <w:szCs w:val="24"/>
        </w:rPr>
        <w:br w:type="textWrapping"/>
      </w:r>
      <w:r>
        <w:rPr>
          <w:rFonts w:ascii="Times New Roman" w:hAnsi="Times New Roman" w:cs="Times New Roman"/>
          <w:color w:val="auto"/>
          <w:sz w:val="24"/>
          <w:szCs w:val="24"/>
          <w:shd w:val="clear" w:color="auto" w:fill="F5F5F5"/>
        </w:rPr>
        <w:t>III - avaliação do desempenho contratual prévio dos licitantes;</w:t>
      </w:r>
      <w:r>
        <w:rPr>
          <w:rFonts w:ascii="Times New Roman" w:hAnsi="Times New Roman" w:cs="Times New Roman"/>
          <w:color w:val="auto"/>
          <w:sz w:val="24"/>
          <w:szCs w:val="24"/>
        </w:rPr>
        <w:br w:type="textWrapping"/>
      </w:r>
      <w:r>
        <w:rPr>
          <w:rFonts w:ascii="Times New Roman" w:hAnsi="Times New Roman" w:cs="Times New Roman"/>
          <w:color w:val="auto"/>
          <w:sz w:val="24"/>
          <w:szCs w:val="24"/>
        </w:rPr>
        <w:br w:type="textWrapping"/>
      </w:r>
      <w:r>
        <w:rPr>
          <w:rFonts w:ascii="Times New Roman" w:hAnsi="Times New Roman" w:cs="Times New Roman"/>
          <w:color w:val="auto"/>
          <w:sz w:val="24"/>
          <w:szCs w:val="24"/>
          <w:shd w:val="clear" w:color="auto" w:fill="F5F5F5"/>
        </w:rPr>
        <w:t>IV - desenvolvimento pelo licitante de ações de equidade entre homens e mulheres no ambiente de trabalho, conforme regulamento; e</w:t>
      </w:r>
      <w:r>
        <w:rPr>
          <w:rFonts w:ascii="Times New Roman" w:hAnsi="Times New Roman" w:cs="Times New Roman"/>
          <w:color w:val="auto"/>
          <w:sz w:val="24"/>
          <w:szCs w:val="24"/>
        </w:rPr>
        <w:br w:type="textWrapping"/>
      </w:r>
      <w:r>
        <w:rPr>
          <w:rFonts w:ascii="Times New Roman" w:hAnsi="Times New Roman" w:cs="Times New Roman"/>
          <w:color w:val="auto"/>
          <w:sz w:val="24"/>
          <w:szCs w:val="24"/>
        </w:rPr>
        <w:br w:type="textWrapping"/>
      </w:r>
      <w:r>
        <w:rPr>
          <w:rFonts w:ascii="Times New Roman" w:hAnsi="Times New Roman" w:cs="Times New Roman"/>
          <w:color w:val="auto"/>
          <w:sz w:val="24"/>
          <w:szCs w:val="24"/>
          <w:shd w:val="clear" w:color="auto" w:fill="F5F5F5"/>
        </w:rPr>
        <w:t>V - desenvolvimento pelo licitante de programa de integridade, conforme orientações dos órgãos de controle.</w:t>
      </w:r>
      <w:r>
        <w:rPr>
          <w:rFonts w:ascii="Times New Roman" w:hAnsi="Times New Roman" w:cs="Times New Roman"/>
          <w:color w:val="auto"/>
          <w:sz w:val="24"/>
          <w:szCs w:val="24"/>
        </w:rPr>
        <w:br w:type="textWrapping"/>
      </w:r>
      <w:r>
        <w:rPr>
          <w:rFonts w:ascii="Times New Roman" w:hAnsi="Times New Roman" w:cs="Times New Roman"/>
          <w:color w:val="auto"/>
          <w:sz w:val="24"/>
          <w:szCs w:val="24"/>
        </w:rPr>
        <w:br w:type="textWrapping"/>
      </w:r>
      <w:r>
        <w:rPr>
          <w:rFonts w:ascii="Times New Roman" w:hAnsi="Times New Roman" w:cs="Times New Roman"/>
          <w:color w:val="auto"/>
          <w:sz w:val="24"/>
          <w:szCs w:val="24"/>
          <w:shd w:val="clear" w:color="auto" w:fill="F5F5F5"/>
        </w:rPr>
        <w:t>Parágrafo único. Os critérios de desempate previstos nos incisos II, III, IV e V deste artigo serão aplicados nas hipóteses em que não haja envio de lances após o início da fase competitiva.</w:t>
      </w:r>
    </w:p>
    <w:p w14:paraId="771FBACC">
      <w:pPr>
        <w:pStyle w:val="120"/>
        <w:spacing w:before="288" w:beforeLines="120" w:after="288" w:afterLines="120" w:line="288" w:lineRule="auto"/>
        <w:ind w:left="0"/>
        <w:contextualSpacing/>
        <w:rPr>
          <w:rFonts w:ascii="Times New Roman" w:hAnsi="Times New Roman" w:cs="Times New Roman"/>
          <w:sz w:val="24"/>
          <w:szCs w:val="24"/>
        </w:rPr>
      </w:pPr>
      <w:r>
        <w:rPr>
          <w:rFonts w:ascii="Times New Roman" w:hAnsi="Times New Roman" w:cs="Times New Roman"/>
          <w:sz w:val="24"/>
          <w:szCs w:val="24"/>
        </w:rPr>
        <w:t>6.19.1.1 contratação de microempresas e empresas de pequeno porte, nos termos dos arts. 44 e 45 da Lei Complementar nº 123/2006, observado o disposto no art. 4º da Lei nº 14.133/2021;</w:t>
      </w:r>
    </w:p>
    <w:p w14:paraId="174E25F7">
      <w:pPr>
        <w:pStyle w:val="120"/>
        <w:spacing w:before="288" w:beforeLines="120" w:after="288" w:afterLines="120" w:line="288" w:lineRule="auto"/>
        <w:ind w:left="0"/>
        <w:contextualSpacing/>
        <w:rPr>
          <w:rFonts w:ascii="Times New Roman" w:hAnsi="Times New Roman" w:cs="Times New Roman"/>
          <w:sz w:val="24"/>
          <w:szCs w:val="24"/>
        </w:rPr>
      </w:pPr>
    </w:p>
    <w:p w14:paraId="2C131FF7">
      <w:pPr>
        <w:pStyle w:val="120"/>
        <w:spacing w:before="288" w:beforeLines="120" w:after="288" w:afterLines="120" w:line="288" w:lineRule="auto"/>
        <w:ind w:left="0"/>
        <w:contextualSpacing/>
        <w:rPr>
          <w:rFonts w:ascii="Times New Roman" w:hAnsi="Times New Roman" w:cs="Times New Roman"/>
          <w:sz w:val="24"/>
          <w:szCs w:val="24"/>
        </w:rPr>
      </w:pPr>
      <w:r>
        <w:rPr>
          <w:rFonts w:ascii="Times New Roman" w:hAnsi="Times New Roman" w:cs="Times New Roman"/>
          <w:sz w:val="24"/>
          <w:szCs w:val="24"/>
        </w:rPr>
        <w:t>6.19.1.2 disputa final, hipótese em que os licitantes empatados poderão apresentar nova proposta em ato contínuo à classificação;</w:t>
      </w:r>
    </w:p>
    <w:p w14:paraId="74BE1926">
      <w:pPr>
        <w:pStyle w:val="120"/>
        <w:spacing w:before="288" w:beforeLines="120" w:after="288" w:afterLines="120" w:line="288" w:lineRule="auto"/>
        <w:ind w:left="0"/>
        <w:contextualSpacing/>
        <w:rPr>
          <w:rFonts w:ascii="Times New Roman" w:hAnsi="Times New Roman" w:cs="Times New Roman"/>
          <w:sz w:val="24"/>
          <w:szCs w:val="24"/>
        </w:rPr>
      </w:pPr>
    </w:p>
    <w:p w14:paraId="3BD7BF84">
      <w:pPr>
        <w:pStyle w:val="120"/>
        <w:spacing w:before="288" w:beforeLines="120" w:after="288" w:afterLines="120" w:line="288" w:lineRule="auto"/>
        <w:ind w:left="0"/>
        <w:contextualSpacing/>
        <w:rPr>
          <w:rFonts w:ascii="Times New Roman" w:hAnsi="Times New Roman" w:cs="Times New Roman"/>
          <w:sz w:val="24"/>
          <w:szCs w:val="24"/>
        </w:rPr>
      </w:pPr>
      <w:r>
        <w:rPr>
          <w:rFonts w:ascii="Times New Roman" w:hAnsi="Times New Roman" w:cs="Times New Roman"/>
          <w:sz w:val="24"/>
          <w:szCs w:val="24"/>
        </w:rPr>
        <w:t>6.19.1.3 avaliação do desempenho contratual prévio dos licitantes, para a qual deverão preferencialmente ser utilizados registros cadastrais para efeito de atesto de cumprimento de obrigações previstos na Lei;</w:t>
      </w:r>
    </w:p>
    <w:p w14:paraId="5EDAF668">
      <w:pPr>
        <w:pStyle w:val="120"/>
        <w:spacing w:before="288" w:beforeLines="120" w:after="288" w:afterLines="120" w:line="288" w:lineRule="auto"/>
        <w:ind w:left="0"/>
        <w:contextualSpacing/>
        <w:rPr>
          <w:rFonts w:ascii="Times New Roman" w:hAnsi="Times New Roman" w:cs="Times New Roman"/>
          <w:sz w:val="24"/>
          <w:szCs w:val="24"/>
        </w:rPr>
      </w:pPr>
    </w:p>
    <w:p w14:paraId="112BCA40">
      <w:pPr>
        <w:pStyle w:val="120"/>
        <w:spacing w:before="288" w:beforeLines="120" w:after="288" w:afterLines="120" w:line="288" w:lineRule="auto"/>
        <w:ind w:left="0"/>
        <w:contextualSpacing/>
        <w:rPr>
          <w:rFonts w:ascii="Times New Roman" w:hAnsi="Times New Roman" w:cs="Times New Roman"/>
          <w:sz w:val="24"/>
          <w:szCs w:val="24"/>
        </w:rPr>
      </w:pPr>
      <w:r>
        <w:rPr>
          <w:rFonts w:ascii="Times New Roman" w:hAnsi="Times New Roman" w:cs="Times New Roman"/>
          <w:sz w:val="24"/>
          <w:szCs w:val="24"/>
        </w:rPr>
        <w:t>6.19.1.4 desenvolvimento pelo licitante de ações de equidade entre homens e mulheres no ambiente de trabalho;</w:t>
      </w:r>
    </w:p>
    <w:p w14:paraId="57FAC441">
      <w:pPr>
        <w:pStyle w:val="120"/>
        <w:spacing w:before="288" w:beforeLines="120" w:after="288" w:afterLines="120" w:line="288" w:lineRule="auto"/>
        <w:ind w:left="0"/>
        <w:contextualSpacing/>
        <w:rPr>
          <w:rFonts w:ascii="Times New Roman" w:hAnsi="Times New Roman" w:cs="Times New Roman"/>
          <w:sz w:val="24"/>
          <w:szCs w:val="24"/>
        </w:rPr>
      </w:pPr>
    </w:p>
    <w:p w14:paraId="4A47C4A2">
      <w:pPr>
        <w:pStyle w:val="120"/>
        <w:spacing w:before="288" w:beforeLines="120" w:after="288" w:afterLines="120" w:line="288" w:lineRule="auto"/>
        <w:ind w:left="0"/>
        <w:contextualSpacing/>
        <w:rPr>
          <w:rFonts w:ascii="Times New Roman" w:hAnsi="Times New Roman" w:cs="Times New Roman"/>
          <w:sz w:val="24"/>
          <w:szCs w:val="24"/>
        </w:rPr>
      </w:pPr>
      <w:r>
        <w:rPr>
          <w:rFonts w:ascii="Times New Roman" w:hAnsi="Times New Roman" w:cs="Times New Roman"/>
          <w:sz w:val="24"/>
          <w:szCs w:val="24"/>
        </w:rPr>
        <w:t>6.19.1.5 desenvolvimento pelo licitante de programa de integridade, conforme orientações dos órgãos de controle.</w:t>
      </w:r>
    </w:p>
    <w:p w14:paraId="3E4F5E95">
      <w:pPr>
        <w:pStyle w:val="10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6.19.2 Persistindo o empate, será assegurada preferência, sucessivamente, aos bens e serviços produzidos ou prestados por:</w:t>
      </w:r>
    </w:p>
    <w:p w14:paraId="05EC4AE8">
      <w:pPr>
        <w:pStyle w:val="120"/>
        <w:spacing w:before="288" w:beforeLines="120" w:after="288" w:afterLines="120" w:line="288" w:lineRule="auto"/>
        <w:ind w:left="0"/>
        <w:contextualSpacing/>
        <w:rPr>
          <w:rFonts w:ascii="Times New Roman" w:hAnsi="Times New Roman" w:cs="Times New Roman"/>
          <w:sz w:val="24"/>
          <w:szCs w:val="24"/>
        </w:rPr>
      </w:pPr>
      <w:bookmarkStart w:id="25" w:name="art60§1i"/>
      <w:bookmarkEnd w:id="25"/>
      <w:r>
        <w:rPr>
          <w:rFonts w:ascii="Times New Roman" w:hAnsi="Times New Roman" w:cs="Times New Roman"/>
          <w:sz w:val="24"/>
          <w:szCs w:val="24"/>
        </w:rPr>
        <w:t>6.19.2.1 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5502526A">
      <w:pPr>
        <w:pStyle w:val="120"/>
        <w:spacing w:before="288" w:beforeLines="120" w:after="288" w:afterLines="120" w:line="288" w:lineRule="auto"/>
        <w:ind w:left="0"/>
        <w:contextualSpacing/>
        <w:rPr>
          <w:rFonts w:ascii="Times New Roman" w:hAnsi="Times New Roman" w:cs="Times New Roman"/>
          <w:sz w:val="24"/>
          <w:szCs w:val="24"/>
        </w:rPr>
      </w:pPr>
      <w:bookmarkStart w:id="26" w:name="art60§1ii"/>
      <w:bookmarkEnd w:id="26"/>
    </w:p>
    <w:p w14:paraId="552085D2">
      <w:pPr>
        <w:pStyle w:val="120"/>
        <w:spacing w:before="288" w:beforeLines="120" w:after="288" w:afterLines="120" w:line="288" w:lineRule="auto"/>
        <w:ind w:left="0"/>
        <w:contextualSpacing/>
        <w:rPr>
          <w:rFonts w:ascii="Times New Roman" w:hAnsi="Times New Roman" w:cs="Times New Roman"/>
          <w:sz w:val="24"/>
          <w:szCs w:val="24"/>
        </w:rPr>
      </w:pPr>
      <w:r>
        <w:rPr>
          <w:rFonts w:ascii="Times New Roman" w:hAnsi="Times New Roman" w:cs="Times New Roman"/>
          <w:sz w:val="24"/>
          <w:szCs w:val="24"/>
        </w:rPr>
        <w:t>6.19.2.2 empresas brasileiras;</w:t>
      </w:r>
    </w:p>
    <w:p w14:paraId="5BBAB6E8">
      <w:pPr>
        <w:pStyle w:val="120"/>
        <w:spacing w:before="288" w:beforeLines="120" w:after="288" w:afterLines="120" w:line="288" w:lineRule="auto"/>
        <w:ind w:left="0"/>
        <w:contextualSpacing/>
        <w:rPr>
          <w:rFonts w:ascii="Times New Roman" w:hAnsi="Times New Roman" w:cs="Times New Roman"/>
          <w:sz w:val="24"/>
          <w:szCs w:val="24"/>
        </w:rPr>
      </w:pPr>
      <w:bookmarkStart w:id="27" w:name="art60§1iii"/>
      <w:bookmarkEnd w:id="27"/>
    </w:p>
    <w:p w14:paraId="2507D885">
      <w:pPr>
        <w:pStyle w:val="120"/>
        <w:spacing w:before="288" w:beforeLines="120" w:after="288" w:afterLines="120" w:line="288" w:lineRule="auto"/>
        <w:ind w:left="0"/>
        <w:contextualSpacing/>
        <w:rPr>
          <w:rFonts w:ascii="Times New Roman" w:hAnsi="Times New Roman" w:cs="Times New Roman"/>
          <w:sz w:val="24"/>
          <w:szCs w:val="24"/>
        </w:rPr>
      </w:pPr>
      <w:r>
        <w:rPr>
          <w:rFonts w:ascii="Times New Roman" w:hAnsi="Times New Roman" w:cs="Times New Roman"/>
          <w:sz w:val="24"/>
          <w:szCs w:val="24"/>
        </w:rPr>
        <w:t>6.19.2.3 empresas que invistam em pesquisa e no desenvolvimento de tecnologia no País;</w:t>
      </w:r>
    </w:p>
    <w:p w14:paraId="390A31EB">
      <w:pPr>
        <w:pStyle w:val="120"/>
        <w:spacing w:before="288" w:beforeLines="120" w:after="288" w:afterLines="120" w:line="288" w:lineRule="auto"/>
        <w:ind w:left="0"/>
        <w:contextualSpacing/>
        <w:rPr>
          <w:rFonts w:ascii="Times New Roman" w:hAnsi="Times New Roman" w:cs="Times New Roman"/>
          <w:sz w:val="24"/>
          <w:szCs w:val="24"/>
        </w:rPr>
      </w:pPr>
      <w:bookmarkStart w:id="28" w:name="art60§1iv"/>
      <w:bookmarkEnd w:id="28"/>
    </w:p>
    <w:p w14:paraId="5729E8C6">
      <w:pPr>
        <w:pStyle w:val="120"/>
        <w:spacing w:before="288" w:beforeLines="120" w:after="288" w:afterLines="120" w:line="288" w:lineRule="auto"/>
        <w:ind w:left="0"/>
        <w:contextualSpacing/>
        <w:rPr>
          <w:rFonts w:ascii="Times New Roman" w:hAnsi="Times New Roman" w:cs="Times New Roman"/>
          <w:sz w:val="24"/>
          <w:szCs w:val="24"/>
        </w:rPr>
      </w:pPr>
      <w:r>
        <w:rPr>
          <w:rFonts w:ascii="Times New Roman" w:hAnsi="Times New Roman" w:cs="Times New Roman"/>
          <w:sz w:val="24"/>
          <w:szCs w:val="24"/>
        </w:rPr>
        <w:t>6.19.2.4 empresas que comprovem a prática de mitigação, nos termos da </w:t>
      </w:r>
      <w:r>
        <w:fldChar w:fldCharType="begin"/>
      </w:r>
      <w:r>
        <w:instrText xml:space="preserve"> HYPERLINK "https://www.planalto.gov.br/ccivil_03/_ato2007-2010/2009/lei/l12187.htm" \l ":~:text=LEI%20N%C2%BA%2012.187%2C%20DE%2029%20DE%20DEZEMBRO%20DE%202009.&amp;text=Institui%20a%20Pol%C3%ADtica%20Nacional%20sobre,PNMC%20e%20d%C3%A1%20outras%20provid%C3%AAncias." </w:instrText>
      </w:r>
      <w:r>
        <w:fldChar w:fldCharType="separate"/>
      </w:r>
      <w:r>
        <w:rPr>
          <w:rStyle w:val="16"/>
          <w:rFonts w:ascii="Times New Roman" w:hAnsi="Times New Roman" w:cs="Times New Roman"/>
          <w:sz w:val="24"/>
          <w:szCs w:val="24"/>
        </w:rPr>
        <w:t>Lei nº 12.187, de 29 de dezembro de 2009</w:t>
      </w:r>
      <w:r>
        <w:rPr>
          <w:rStyle w:val="16"/>
          <w:rFonts w:ascii="Times New Roman" w:hAnsi="Times New Roman" w:cs="Times New Roman"/>
          <w:sz w:val="24"/>
          <w:szCs w:val="24"/>
        </w:rPr>
        <w:fldChar w:fldCharType="end"/>
      </w:r>
      <w:r>
        <w:rPr>
          <w:rFonts w:ascii="Times New Roman" w:hAnsi="Times New Roman" w:cs="Times New Roman"/>
          <w:sz w:val="24"/>
          <w:szCs w:val="24"/>
        </w:rPr>
        <w:t>.</w:t>
      </w:r>
    </w:p>
    <w:p w14:paraId="7DD3DD0D">
      <w:pPr>
        <w:pStyle w:val="97"/>
        <w:spacing w:before="0" w:beforeAutospacing="0" w:after="0" w:afterAutospacing="0" w:line="288" w:lineRule="auto"/>
        <w:contextualSpacing/>
        <w:jc w:val="both"/>
        <w:rPr>
          <w:rFonts w:eastAsia="Calibri"/>
          <w:b/>
          <w:bCs/>
          <w:lang w:eastAsia="en-US"/>
        </w:rPr>
      </w:pPr>
      <w:r>
        <w:rPr>
          <w:rFonts w:eastAsia="Calibri"/>
          <w:b/>
          <w:bCs/>
          <w:lang w:eastAsia="en-US"/>
        </w:rPr>
        <w:t>7. DA FASE DE JULGAMENTO</w:t>
      </w:r>
    </w:p>
    <w:p w14:paraId="43D435DB">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7.1 Encerrada a etapa de envio de lances da sessão pública, na hipótese de a proposta do primeiro colocado permanecer acima do preço máximo ou inferior ao desconto definido para a contratação, o Pregoeiro negociará condições mais vantajosas, após definido o resultado do julgamento.</w:t>
      </w:r>
    </w:p>
    <w:p w14:paraId="3F22EF65">
      <w:pPr>
        <w:pStyle w:val="99"/>
        <w:spacing w:before="288" w:beforeLines="120" w:after="288" w:afterLines="120" w:line="288" w:lineRule="auto"/>
        <w:ind w:left="0" w:firstLine="0"/>
        <w:contextualSpacing/>
        <w:rPr>
          <w:rFonts w:ascii="Times New Roman" w:hAnsi="Times New Roman" w:cs="Times New Roman"/>
          <w:sz w:val="24"/>
          <w:szCs w:val="24"/>
        </w:rPr>
      </w:pPr>
    </w:p>
    <w:p w14:paraId="3A46D18E">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7.1.1 A negociação ocorrerá sempre que a proposta do primeiro colocado permanecer acima do preço máximo ou do orçamento estimado para a contratação, ou inferior ao desconto definido para a contratação, e poderá ser dispensada, nos demais casos, mediante justificativa da provável inefetividade da negociação.</w:t>
      </w:r>
    </w:p>
    <w:p w14:paraId="49E20296">
      <w:pPr>
        <w:pStyle w:val="10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7.1.2 A negociação será realizada por meio do sistema, podendo ser acompanhada pelos demais licitantes.</w:t>
      </w:r>
    </w:p>
    <w:p w14:paraId="7E8A11B3">
      <w:pPr>
        <w:pStyle w:val="103"/>
        <w:spacing w:before="288" w:beforeLines="120" w:after="288" w:afterLines="120" w:line="288" w:lineRule="auto"/>
        <w:ind w:left="0" w:firstLine="0"/>
        <w:contextualSpacing/>
        <w:rPr>
          <w:rFonts w:ascii="Times New Roman" w:hAnsi="Times New Roman" w:cs="Times New Roman"/>
          <w:sz w:val="24"/>
          <w:szCs w:val="24"/>
        </w:rPr>
      </w:pPr>
    </w:p>
    <w:p w14:paraId="11D5FEBC">
      <w:pPr>
        <w:pStyle w:val="10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7.1.3 O resultado da negociação será divulgado a todos os licitantes e anexado aos autos do processo licitatório.</w:t>
      </w:r>
    </w:p>
    <w:p w14:paraId="599A2BC4">
      <w:pPr>
        <w:pStyle w:val="103"/>
        <w:spacing w:before="288" w:beforeLines="120" w:after="288" w:afterLines="120" w:line="288" w:lineRule="auto"/>
        <w:ind w:left="0" w:firstLine="0"/>
        <w:contextualSpacing/>
        <w:rPr>
          <w:rFonts w:ascii="Times New Roman" w:hAnsi="Times New Roman" w:cs="Times New Roman"/>
          <w:sz w:val="24"/>
          <w:szCs w:val="24"/>
        </w:rPr>
      </w:pPr>
    </w:p>
    <w:p w14:paraId="0A8DE442">
      <w:pPr>
        <w:pStyle w:val="10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7.1.4 O Pregoeiro solicitará ao licitante mais bem classificado que, no </w:t>
      </w:r>
      <w:bookmarkStart w:id="29" w:name="_Hlk178773510"/>
      <w:r>
        <w:rPr>
          <w:rFonts w:ascii="Times New Roman" w:hAnsi="Times New Roman" w:cs="Times New Roman"/>
          <w:color w:val="auto"/>
          <w:sz w:val="24"/>
          <w:szCs w:val="24"/>
        </w:rPr>
        <w:t xml:space="preserve">prazo mínimo </w:t>
      </w:r>
      <w:r>
        <w:rPr>
          <w:rFonts w:ascii="Times New Roman" w:hAnsi="Times New Roman" w:cs="Times New Roman"/>
          <w:color w:val="000000" w:themeColor="text1"/>
          <w:sz w:val="24"/>
          <w:szCs w:val="24"/>
          <w14:textFill>
            <w14:solidFill>
              <w14:schemeClr w14:val="tx1"/>
            </w14:solidFill>
          </w14:textFill>
        </w:rPr>
        <w:t>de 2 (duas) horas</w:t>
      </w:r>
      <w:bookmarkEnd w:id="29"/>
      <w:r>
        <w:rPr>
          <w:rFonts w:ascii="Times New Roman" w:hAnsi="Times New Roman" w:cs="Times New Roman"/>
          <w:color w:val="000000" w:themeColor="text1"/>
          <w:sz w:val="24"/>
          <w:szCs w:val="24"/>
          <w14:textFill>
            <w14:solidFill>
              <w14:schemeClr w14:val="tx1"/>
            </w14:solidFill>
          </w14:textFill>
        </w:rPr>
        <w:t xml:space="preserve">, envie </w:t>
      </w:r>
      <w:r>
        <w:rPr>
          <w:rFonts w:ascii="Times New Roman" w:hAnsi="Times New Roman" w:cs="Times New Roman"/>
          <w:sz w:val="24"/>
          <w:szCs w:val="24"/>
        </w:rPr>
        <w:t>a proposta adequada ao último lance ofertado após a negociação realizada, acompanhada, se for o caso, dos documentos complementares, quando necessários à confirmação daqueles exigidos neste Edital e já apresentados.</w:t>
      </w:r>
    </w:p>
    <w:p w14:paraId="007A7A98">
      <w:pPr>
        <w:pStyle w:val="103"/>
        <w:spacing w:before="288" w:beforeLines="120" w:after="288" w:afterLines="120" w:line="288" w:lineRule="auto"/>
        <w:ind w:left="0" w:firstLine="0"/>
        <w:contextualSpacing/>
        <w:rPr>
          <w:rFonts w:ascii="Times New Roman" w:hAnsi="Times New Roman" w:cs="Times New Roman"/>
          <w:sz w:val="24"/>
          <w:szCs w:val="24"/>
        </w:rPr>
      </w:pPr>
    </w:p>
    <w:p w14:paraId="75BDB8B0">
      <w:pPr>
        <w:pStyle w:val="10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7.1.5 É facultado ao Pregoeiro prorrogar o prazo estabelecido, por igual período, de ofício ou a partir de solicitação fundamentada feita no chat pelo licitante, antes de findo o prazo.</w:t>
      </w:r>
    </w:p>
    <w:p w14:paraId="0A631CDF">
      <w:pPr>
        <w:pStyle w:val="99"/>
        <w:spacing w:before="288" w:beforeLines="120" w:after="288" w:afterLines="120" w:line="288" w:lineRule="auto"/>
        <w:ind w:left="0" w:firstLine="0"/>
        <w:contextualSpacing/>
        <w:rPr>
          <w:rFonts w:ascii="Times New Roman" w:hAnsi="Times New Roman" w:cs="Times New Roman"/>
          <w:b/>
          <w:sz w:val="24"/>
          <w:szCs w:val="24"/>
        </w:rPr>
      </w:pPr>
      <w:r>
        <w:rPr>
          <w:rFonts w:ascii="Times New Roman" w:hAnsi="Times New Roman" w:cs="Times New Roman"/>
          <w:sz w:val="24"/>
          <w:szCs w:val="24"/>
        </w:rPr>
        <w:t>7.2 Encerrada a negociação, o Pregoeiro examinará a proposta classificada em primeiro lugar quanto à adequação ao objeto e à compatibilidade do preço em relação ao máximo estipulado para contratação neste Edital e em seus anexos.</w:t>
      </w:r>
    </w:p>
    <w:p w14:paraId="17574971">
      <w:pPr>
        <w:pStyle w:val="99"/>
        <w:spacing w:before="288" w:beforeLines="120" w:after="288" w:afterLines="120" w:line="288" w:lineRule="auto"/>
        <w:ind w:left="0" w:firstLine="0"/>
        <w:contextualSpacing/>
        <w:rPr>
          <w:rFonts w:ascii="Times New Roman" w:hAnsi="Times New Roman" w:cs="Times New Roman"/>
          <w:sz w:val="24"/>
          <w:szCs w:val="24"/>
        </w:rPr>
      </w:pPr>
    </w:p>
    <w:p w14:paraId="0AA930E5">
      <w:pPr>
        <w:pStyle w:val="99"/>
        <w:spacing w:before="288" w:beforeLines="120" w:after="288" w:afterLines="120" w:line="288" w:lineRule="auto"/>
        <w:ind w:left="0" w:firstLine="0"/>
        <w:contextualSpacing/>
        <w:rPr>
          <w:rFonts w:ascii="Times New Roman" w:hAnsi="Times New Roman" w:cs="Times New Roman"/>
          <w:b/>
          <w:sz w:val="24"/>
          <w:szCs w:val="24"/>
        </w:rPr>
      </w:pPr>
      <w:r>
        <w:rPr>
          <w:rFonts w:ascii="Times New Roman" w:hAnsi="Times New Roman" w:cs="Times New Roman"/>
          <w:sz w:val="24"/>
          <w:szCs w:val="24"/>
        </w:rPr>
        <w:t xml:space="preserve">7.3 Será desclassificada a proposta vencedora que: </w:t>
      </w:r>
    </w:p>
    <w:p w14:paraId="17C5878D">
      <w:pPr>
        <w:pStyle w:val="103"/>
        <w:spacing w:before="288" w:beforeLines="120" w:after="288" w:afterLines="120" w:line="288" w:lineRule="auto"/>
        <w:ind w:left="0" w:firstLine="0"/>
        <w:contextualSpacing/>
        <w:rPr>
          <w:rFonts w:ascii="Times New Roman" w:hAnsi="Times New Roman" w:cs="Times New Roman"/>
          <w:b/>
          <w:sz w:val="24"/>
          <w:szCs w:val="24"/>
        </w:rPr>
      </w:pPr>
      <w:r>
        <w:rPr>
          <w:rFonts w:ascii="Times New Roman" w:hAnsi="Times New Roman" w:cs="Times New Roman"/>
          <w:sz w:val="24"/>
          <w:szCs w:val="24"/>
        </w:rPr>
        <w:t>7.3.1 contiver vícios insanáveis;</w:t>
      </w:r>
    </w:p>
    <w:p w14:paraId="0FEDF535">
      <w:pPr>
        <w:pStyle w:val="103"/>
        <w:spacing w:before="288" w:beforeLines="120" w:after="288" w:afterLines="120" w:line="288" w:lineRule="auto"/>
        <w:ind w:left="0" w:firstLine="0"/>
        <w:contextualSpacing/>
        <w:rPr>
          <w:rFonts w:ascii="Times New Roman" w:hAnsi="Times New Roman" w:cs="Times New Roman"/>
          <w:sz w:val="24"/>
          <w:szCs w:val="24"/>
        </w:rPr>
      </w:pPr>
    </w:p>
    <w:p w14:paraId="36E4A295">
      <w:pPr>
        <w:pStyle w:val="103"/>
        <w:spacing w:before="288" w:beforeLines="120" w:after="288" w:afterLines="120" w:line="288" w:lineRule="auto"/>
        <w:ind w:left="0" w:firstLine="0"/>
        <w:contextualSpacing/>
        <w:rPr>
          <w:rFonts w:ascii="Times New Roman" w:hAnsi="Times New Roman" w:cs="Times New Roman"/>
          <w:b/>
          <w:sz w:val="24"/>
          <w:szCs w:val="24"/>
        </w:rPr>
      </w:pPr>
      <w:r>
        <w:rPr>
          <w:rFonts w:ascii="Times New Roman" w:hAnsi="Times New Roman" w:cs="Times New Roman"/>
          <w:sz w:val="24"/>
          <w:szCs w:val="24"/>
        </w:rPr>
        <w:t>7.3.2 não obedecer às especificações técnicas contidas no Termo de Referência;</w:t>
      </w:r>
    </w:p>
    <w:p w14:paraId="7C3E0E09">
      <w:pPr>
        <w:pStyle w:val="103"/>
        <w:spacing w:before="288" w:beforeLines="120" w:after="288" w:afterLines="120" w:line="288" w:lineRule="auto"/>
        <w:ind w:left="0" w:firstLine="0"/>
        <w:contextualSpacing/>
        <w:rPr>
          <w:rFonts w:ascii="Times New Roman" w:hAnsi="Times New Roman" w:cs="Times New Roman"/>
          <w:sz w:val="24"/>
          <w:szCs w:val="24"/>
        </w:rPr>
      </w:pPr>
    </w:p>
    <w:p w14:paraId="73AD5C4A">
      <w:pPr>
        <w:pStyle w:val="103"/>
        <w:spacing w:before="288" w:beforeLines="120" w:after="288" w:afterLines="120" w:line="288" w:lineRule="auto"/>
        <w:ind w:left="0" w:firstLine="0"/>
        <w:contextualSpacing/>
        <w:rPr>
          <w:rFonts w:ascii="Times New Roman" w:hAnsi="Times New Roman" w:cs="Times New Roman"/>
          <w:b/>
          <w:sz w:val="24"/>
          <w:szCs w:val="24"/>
        </w:rPr>
      </w:pPr>
      <w:r>
        <w:rPr>
          <w:rFonts w:ascii="Times New Roman" w:hAnsi="Times New Roman" w:cs="Times New Roman"/>
          <w:sz w:val="24"/>
          <w:szCs w:val="24"/>
        </w:rPr>
        <w:t>7.3.3 apresentar preços inexequíveis ou permanecerem acima do preço máximo definido para a contratação;</w:t>
      </w:r>
    </w:p>
    <w:p w14:paraId="5CBA67CF">
      <w:pPr>
        <w:pStyle w:val="103"/>
        <w:spacing w:before="288" w:beforeLines="120" w:after="288" w:afterLines="120" w:line="288" w:lineRule="auto"/>
        <w:ind w:left="0" w:firstLine="0"/>
        <w:contextualSpacing/>
        <w:rPr>
          <w:rFonts w:ascii="Times New Roman" w:hAnsi="Times New Roman" w:cs="Times New Roman"/>
          <w:sz w:val="24"/>
          <w:szCs w:val="24"/>
        </w:rPr>
      </w:pPr>
    </w:p>
    <w:p w14:paraId="762D63D0">
      <w:pPr>
        <w:pStyle w:val="103"/>
        <w:spacing w:before="288" w:beforeLines="120" w:after="288" w:afterLines="120" w:line="288" w:lineRule="auto"/>
        <w:ind w:left="0" w:firstLine="0"/>
        <w:contextualSpacing/>
        <w:rPr>
          <w:rFonts w:ascii="Times New Roman" w:hAnsi="Times New Roman" w:cs="Times New Roman"/>
          <w:b/>
          <w:sz w:val="24"/>
          <w:szCs w:val="24"/>
        </w:rPr>
      </w:pPr>
      <w:r>
        <w:rPr>
          <w:rFonts w:ascii="Times New Roman" w:hAnsi="Times New Roman" w:cs="Times New Roman"/>
          <w:sz w:val="24"/>
          <w:szCs w:val="24"/>
        </w:rPr>
        <w:t>7.3.4 não tiverem sua exequibilidade demonstrada, quando exigido pela Administração;</w:t>
      </w:r>
    </w:p>
    <w:p w14:paraId="465B06D1">
      <w:pPr>
        <w:pStyle w:val="103"/>
        <w:spacing w:before="288" w:beforeLines="120" w:after="288" w:afterLines="120" w:line="288" w:lineRule="auto"/>
        <w:ind w:left="0" w:firstLine="0"/>
        <w:contextualSpacing/>
        <w:rPr>
          <w:rFonts w:ascii="Times New Roman" w:hAnsi="Times New Roman" w:cs="Times New Roman"/>
          <w:sz w:val="24"/>
          <w:szCs w:val="24"/>
        </w:rPr>
      </w:pPr>
    </w:p>
    <w:p w14:paraId="2D215B44">
      <w:pPr>
        <w:pStyle w:val="103"/>
        <w:spacing w:before="288" w:beforeLines="120" w:after="288" w:afterLines="120" w:line="288" w:lineRule="auto"/>
        <w:ind w:left="0" w:firstLine="0"/>
        <w:contextualSpacing/>
        <w:rPr>
          <w:rFonts w:ascii="Times New Roman" w:hAnsi="Times New Roman" w:cs="Times New Roman"/>
          <w:b/>
          <w:sz w:val="24"/>
          <w:szCs w:val="24"/>
        </w:rPr>
      </w:pPr>
      <w:r>
        <w:rPr>
          <w:rFonts w:ascii="Times New Roman" w:hAnsi="Times New Roman" w:cs="Times New Roman"/>
          <w:sz w:val="24"/>
          <w:szCs w:val="24"/>
        </w:rPr>
        <w:t>7.3.5 apresentar desconformidade com quaisquer outras exigências deste Edital ou seus anexos, desde que insanável.</w:t>
      </w:r>
    </w:p>
    <w:p w14:paraId="73B70349">
      <w:pPr>
        <w:pStyle w:val="99"/>
        <w:spacing w:before="288" w:beforeLines="120" w:after="288" w:afterLines="120" w:line="288" w:lineRule="auto"/>
        <w:ind w:left="0" w:firstLine="0"/>
        <w:contextualSpacing/>
        <w:rPr>
          <w:rFonts w:ascii="Times New Roman" w:hAnsi="Times New Roman" w:cs="Times New Roman"/>
          <w:b/>
          <w:bCs/>
          <w:sz w:val="24"/>
          <w:szCs w:val="24"/>
        </w:rPr>
      </w:pPr>
      <w:r>
        <w:rPr>
          <w:rFonts w:ascii="Times New Roman" w:hAnsi="Times New Roman" w:cs="Times New Roman"/>
          <w:sz w:val="24"/>
          <w:szCs w:val="24"/>
        </w:rPr>
        <w:t>7.4 A desclassificação será sempre fundamentada e registrada no sistema, com acompanhamento por todos os participantes.</w:t>
      </w:r>
    </w:p>
    <w:p w14:paraId="4F060194">
      <w:pPr>
        <w:pStyle w:val="99"/>
        <w:spacing w:before="288" w:beforeLines="120" w:after="288" w:afterLines="120" w:line="288" w:lineRule="auto"/>
        <w:ind w:left="0" w:firstLine="0"/>
        <w:contextualSpacing/>
        <w:rPr>
          <w:rFonts w:ascii="Times New Roman" w:hAnsi="Times New Roman" w:cs="Times New Roman"/>
          <w:sz w:val="24"/>
          <w:szCs w:val="24"/>
        </w:rPr>
      </w:pPr>
    </w:p>
    <w:p w14:paraId="3477608F">
      <w:pPr>
        <w:pStyle w:val="99"/>
        <w:spacing w:before="288" w:beforeLines="120" w:after="288" w:afterLines="120" w:line="288" w:lineRule="auto"/>
        <w:ind w:left="0" w:firstLine="0"/>
        <w:contextualSpacing/>
        <w:rPr>
          <w:rFonts w:ascii="Times New Roman" w:hAnsi="Times New Roman" w:cs="Times New Roman"/>
          <w:b/>
          <w:bCs/>
          <w:sz w:val="24"/>
          <w:szCs w:val="24"/>
        </w:rPr>
      </w:pPr>
      <w:r>
        <w:rPr>
          <w:rFonts w:ascii="Times New Roman" w:hAnsi="Times New Roman" w:cs="Times New Roman"/>
          <w:sz w:val="24"/>
          <w:szCs w:val="24"/>
        </w:rPr>
        <w:t xml:space="preserve">7.5 É indício de inexequibilidade das propostas valores inferiores a 50% (cinquenta por cento) do valor orçado pela Administração, conforme art. 59 da Lei 14.133/2021 e Instrução Normativa/ME 73/2022. </w:t>
      </w:r>
    </w:p>
    <w:p w14:paraId="62C026F6">
      <w:pPr>
        <w:pStyle w:val="10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7.5.1 A inexequibilidade, na hipótese de que trata o </w:t>
      </w:r>
      <w:r>
        <w:rPr>
          <w:rFonts w:ascii="Times New Roman" w:hAnsi="Times New Roman" w:cs="Times New Roman"/>
          <w:i/>
          <w:iCs/>
          <w:sz w:val="24"/>
          <w:szCs w:val="24"/>
        </w:rPr>
        <w:t>caput</w:t>
      </w:r>
      <w:r>
        <w:rPr>
          <w:rFonts w:ascii="Times New Roman" w:hAnsi="Times New Roman" w:cs="Times New Roman"/>
          <w:sz w:val="24"/>
          <w:szCs w:val="24"/>
        </w:rPr>
        <w:t>, só será considerada após diligência do Pregoeiro, que comprove:</w:t>
      </w:r>
    </w:p>
    <w:p w14:paraId="00A3A37B">
      <w:pPr>
        <w:pStyle w:val="120"/>
        <w:spacing w:before="288" w:beforeLines="120" w:after="288" w:afterLines="120" w:line="288" w:lineRule="auto"/>
        <w:ind w:left="0"/>
        <w:contextualSpacing/>
        <w:rPr>
          <w:rFonts w:ascii="Times New Roman" w:hAnsi="Times New Roman" w:cs="Times New Roman"/>
          <w:sz w:val="24"/>
          <w:szCs w:val="24"/>
        </w:rPr>
      </w:pPr>
      <w:r>
        <w:rPr>
          <w:rFonts w:ascii="Times New Roman" w:hAnsi="Times New Roman" w:cs="Times New Roman"/>
          <w:sz w:val="24"/>
          <w:szCs w:val="24"/>
        </w:rPr>
        <w:t>7.5.1.1 que o custo do licitante ultrapassa o valor da proposta; e</w:t>
      </w:r>
    </w:p>
    <w:p w14:paraId="20C35FAE">
      <w:pPr>
        <w:pStyle w:val="120"/>
        <w:spacing w:before="288" w:beforeLines="120" w:after="288" w:afterLines="120" w:line="288" w:lineRule="auto"/>
        <w:ind w:left="0"/>
        <w:contextualSpacing/>
        <w:rPr>
          <w:rFonts w:ascii="Times New Roman" w:hAnsi="Times New Roman" w:cs="Times New Roman"/>
          <w:sz w:val="24"/>
          <w:szCs w:val="24"/>
        </w:rPr>
      </w:pPr>
    </w:p>
    <w:p w14:paraId="023A6052">
      <w:pPr>
        <w:pStyle w:val="120"/>
        <w:spacing w:before="288" w:beforeLines="120" w:after="288" w:afterLines="120" w:line="288" w:lineRule="auto"/>
        <w:ind w:left="0"/>
        <w:contextualSpacing/>
        <w:rPr>
          <w:rFonts w:ascii="Times New Roman" w:hAnsi="Times New Roman" w:cs="Times New Roman"/>
          <w:sz w:val="24"/>
          <w:szCs w:val="24"/>
        </w:rPr>
      </w:pPr>
      <w:r>
        <w:rPr>
          <w:rFonts w:ascii="Times New Roman" w:hAnsi="Times New Roman" w:cs="Times New Roman"/>
          <w:sz w:val="24"/>
          <w:szCs w:val="24"/>
        </w:rPr>
        <w:t>7.5.1.2 inexistirem custos de oportunidade capazes de justificar o vulto da oferta.</w:t>
      </w:r>
    </w:p>
    <w:p w14:paraId="148DDB0F">
      <w:pPr>
        <w:pStyle w:val="99"/>
        <w:spacing w:before="288" w:beforeLines="120" w:after="288" w:afterLines="120" w:line="288" w:lineRule="auto"/>
        <w:ind w:left="0" w:firstLine="0"/>
        <w:contextualSpacing/>
        <w:rPr>
          <w:rFonts w:ascii="Times New Roman" w:hAnsi="Times New Roman" w:cs="Times New Roman"/>
          <w:b/>
          <w:sz w:val="24"/>
          <w:szCs w:val="24"/>
        </w:rPr>
      </w:pPr>
      <w:r>
        <w:rPr>
          <w:rFonts w:ascii="Times New Roman" w:hAnsi="Times New Roman" w:cs="Times New Roman"/>
          <w:sz w:val="24"/>
          <w:szCs w:val="24"/>
        </w:rPr>
        <w:t>7.6 Se houver indícios de inexequibilidade da proposta de preço, ou em caso da necessidade de esclarecimentos complementares, poderão ser efetuadas diligências, para que a empresa comprove a exequibilidade da proposta.</w:t>
      </w:r>
    </w:p>
    <w:p w14:paraId="21197F32">
      <w:pPr>
        <w:pStyle w:val="99"/>
        <w:spacing w:before="288" w:beforeLines="120" w:after="288" w:afterLines="120" w:line="288" w:lineRule="auto"/>
        <w:ind w:left="0" w:firstLine="0"/>
        <w:contextualSpacing/>
        <w:rPr>
          <w:rFonts w:ascii="Times New Roman" w:hAnsi="Times New Roman" w:cs="Times New Roman"/>
          <w:sz w:val="24"/>
          <w:szCs w:val="24"/>
        </w:rPr>
      </w:pPr>
    </w:p>
    <w:p w14:paraId="6A315E7E">
      <w:pPr>
        <w:pStyle w:val="99"/>
        <w:spacing w:before="288" w:beforeLines="120" w:after="288" w:afterLines="120" w:line="288" w:lineRule="auto"/>
        <w:ind w:left="0" w:firstLine="0"/>
        <w:contextualSpacing/>
        <w:rPr>
          <w:rFonts w:ascii="Times New Roman" w:hAnsi="Times New Roman" w:cs="Times New Roman"/>
          <w:b/>
          <w:sz w:val="24"/>
          <w:szCs w:val="24"/>
        </w:rPr>
      </w:pPr>
      <w:r>
        <w:rPr>
          <w:rFonts w:ascii="Times New Roman" w:hAnsi="Times New Roman" w:cs="Times New Roman"/>
          <w:sz w:val="24"/>
          <w:szCs w:val="24"/>
        </w:rPr>
        <w:t>7.7 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0302E83F">
      <w:pPr>
        <w:pStyle w:val="99"/>
        <w:spacing w:before="288" w:beforeLines="120" w:after="288" w:afterLines="120" w:line="288" w:lineRule="auto"/>
        <w:ind w:left="0" w:firstLine="0"/>
        <w:contextualSpacing/>
        <w:rPr>
          <w:rFonts w:ascii="Times New Roman" w:hAnsi="Times New Roman" w:cs="Times New Roman"/>
          <w:sz w:val="24"/>
          <w:szCs w:val="24"/>
        </w:rPr>
      </w:pPr>
    </w:p>
    <w:p w14:paraId="21947A3A">
      <w:pPr>
        <w:pStyle w:val="99"/>
        <w:spacing w:before="288" w:beforeLines="120" w:after="288" w:afterLines="120" w:line="288" w:lineRule="auto"/>
        <w:ind w:left="0" w:firstLine="0"/>
        <w:contextualSpacing/>
        <w:rPr>
          <w:rFonts w:ascii="Times New Roman" w:hAnsi="Times New Roman" w:cs="Times New Roman"/>
          <w:b/>
          <w:sz w:val="24"/>
          <w:szCs w:val="24"/>
        </w:rPr>
      </w:pPr>
      <w:r>
        <w:rPr>
          <w:rFonts w:ascii="Times New Roman" w:hAnsi="Times New Roman" w:cs="Times New Roman"/>
          <w:sz w:val="24"/>
          <w:szCs w:val="24"/>
        </w:rPr>
        <w:t>7.8 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14:paraId="5821C588">
      <w:pPr>
        <w:pStyle w:val="103"/>
        <w:spacing w:before="288" w:beforeLines="120" w:after="288" w:afterLines="120" w:line="288" w:lineRule="auto"/>
        <w:ind w:left="0" w:firstLine="0"/>
        <w:contextualSpacing/>
        <w:rPr>
          <w:rFonts w:ascii="Times New Roman" w:hAnsi="Times New Roman" w:cs="Times New Roman"/>
          <w:b/>
          <w:sz w:val="24"/>
          <w:szCs w:val="24"/>
        </w:rPr>
      </w:pPr>
      <w:r>
        <w:rPr>
          <w:rFonts w:ascii="Times New Roman" w:hAnsi="Times New Roman" w:cs="Times New Roman"/>
          <w:sz w:val="24"/>
          <w:szCs w:val="24"/>
        </w:rPr>
        <w:t>7.8.1 O ajuste de que trata este dispositivo se limita a sanar erros ou falhas que não alterem a substância das propostas.</w:t>
      </w:r>
    </w:p>
    <w:p w14:paraId="22A3E7AC">
      <w:pPr>
        <w:pStyle w:val="103"/>
        <w:spacing w:before="288" w:beforeLines="120" w:after="288" w:afterLines="120" w:line="288" w:lineRule="auto"/>
        <w:ind w:left="0" w:firstLine="0"/>
        <w:contextualSpacing/>
        <w:rPr>
          <w:rFonts w:ascii="Times New Roman" w:hAnsi="Times New Roman" w:cs="Times New Roman"/>
          <w:sz w:val="24"/>
          <w:szCs w:val="24"/>
        </w:rPr>
      </w:pPr>
    </w:p>
    <w:p w14:paraId="04FB6F3B">
      <w:pPr>
        <w:pStyle w:val="103"/>
        <w:spacing w:before="288" w:beforeLines="120" w:after="288" w:afterLines="120" w:line="288" w:lineRule="auto"/>
        <w:ind w:left="0" w:firstLine="0"/>
        <w:contextualSpacing/>
        <w:rPr>
          <w:rFonts w:ascii="Times New Roman" w:hAnsi="Times New Roman" w:cs="Times New Roman"/>
          <w:b/>
          <w:sz w:val="24"/>
          <w:szCs w:val="24"/>
        </w:rPr>
      </w:pPr>
      <w:r>
        <w:rPr>
          <w:rFonts w:ascii="Times New Roman" w:hAnsi="Times New Roman" w:cs="Times New Roman"/>
          <w:sz w:val="24"/>
          <w:szCs w:val="24"/>
        </w:rPr>
        <w:t>7.8.2 Considera-se erro no preenchimento da planilha passível de correção a indicação de recolhimento de impostos e contribuições na forma do Simples Nacional, quando não cabível esse regime.</w:t>
      </w:r>
    </w:p>
    <w:p w14:paraId="3CE6D152">
      <w:pPr>
        <w:pStyle w:val="99"/>
        <w:spacing w:before="288" w:beforeLines="120" w:after="288" w:afterLines="120" w:line="288" w:lineRule="auto"/>
        <w:ind w:left="0" w:firstLine="0"/>
        <w:contextualSpacing/>
        <w:rPr>
          <w:rFonts w:ascii="Times New Roman" w:hAnsi="Times New Roman" w:cs="Times New Roman"/>
          <w:sz w:val="24"/>
          <w:szCs w:val="24"/>
          <w:lang w:eastAsia="en-US"/>
        </w:rPr>
      </w:pPr>
      <w:r>
        <w:rPr>
          <w:rFonts w:ascii="Times New Roman" w:hAnsi="Times New Roman" w:cs="Times New Roman"/>
          <w:sz w:val="24"/>
          <w:szCs w:val="24"/>
          <w:lang w:eastAsia="en-US"/>
        </w:rPr>
        <w:t xml:space="preserve">7.9 Para fins de análise da proposta quanto ao cumprimento </w:t>
      </w:r>
      <w:r>
        <w:rPr>
          <w:rFonts w:ascii="Times New Roman" w:hAnsi="Times New Roman" w:cs="Times New Roman"/>
          <w:sz w:val="24"/>
          <w:szCs w:val="24"/>
        </w:rPr>
        <w:t>das</w:t>
      </w:r>
      <w:r>
        <w:rPr>
          <w:rFonts w:ascii="Times New Roman" w:hAnsi="Times New Roman" w:cs="Times New Roman"/>
          <w:sz w:val="24"/>
          <w:szCs w:val="24"/>
          <w:lang w:eastAsia="en-US"/>
        </w:rPr>
        <w:t xml:space="preserve"> especificações do objeto, poderá ser colhida a </w:t>
      </w:r>
      <w:r>
        <w:rPr>
          <w:rFonts w:ascii="Times New Roman" w:hAnsi="Times New Roman" w:cs="Times New Roman"/>
          <w:sz w:val="24"/>
          <w:szCs w:val="24"/>
        </w:rPr>
        <w:t>manifestação</w:t>
      </w:r>
      <w:r>
        <w:rPr>
          <w:rFonts w:ascii="Times New Roman" w:hAnsi="Times New Roman" w:cs="Times New Roman"/>
          <w:sz w:val="24"/>
          <w:szCs w:val="24"/>
          <w:lang w:eastAsia="en-US"/>
        </w:rPr>
        <w:t xml:space="preserve"> escrita do setor requisitante da área especializada no objeto.</w:t>
      </w:r>
    </w:p>
    <w:p w14:paraId="7DF91B0A">
      <w:pPr>
        <w:pStyle w:val="99"/>
        <w:spacing w:before="288" w:beforeLines="120" w:after="288" w:afterLines="120" w:line="288" w:lineRule="auto"/>
        <w:ind w:left="0" w:firstLine="0"/>
        <w:contextualSpacing/>
        <w:rPr>
          <w:rFonts w:ascii="Times New Roman" w:hAnsi="Times New Roman" w:cs="Times New Roman"/>
          <w:sz w:val="24"/>
          <w:szCs w:val="24"/>
        </w:rPr>
      </w:pPr>
    </w:p>
    <w:p w14:paraId="588F502F">
      <w:pPr>
        <w:pStyle w:val="99"/>
        <w:spacing w:before="288" w:beforeLines="120" w:after="288" w:afterLines="120" w:line="288" w:lineRule="auto"/>
        <w:ind w:left="0" w:firstLine="0"/>
        <w:contextualSpacing/>
        <w:rPr>
          <w:rFonts w:ascii="Times New Roman" w:hAnsi="Times New Roman" w:cs="Times New Roman"/>
          <w:b/>
          <w:bCs/>
          <w:sz w:val="24"/>
          <w:szCs w:val="24"/>
          <w:lang w:eastAsia="ar-SA"/>
        </w:rPr>
      </w:pPr>
      <w:r>
        <w:rPr>
          <w:rFonts w:ascii="Times New Roman" w:hAnsi="Times New Roman" w:cs="Times New Roman"/>
          <w:sz w:val="24"/>
          <w:szCs w:val="24"/>
        </w:rPr>
        <w:t xml:space="preserve">7.10 O Pregoeiro verificará se o licitante provisoriamente classificado em primeiro lugar atende às condições de participação no certame, conforme previsto no </w:t>
      </w:r>
      <w:r>
        <w:fldChar w:fldCharType="begin"/>
      </w:r>
      <w:r>
        <w:instrText xml:space="preserve"> HYPERLINK "http://www.planalto.gov.br/ccivil_03/_ato2019-2022/2021/lei/L14133.htm" \l "art14" </w:instrText>
      </w:r>
      <w:r>
        <w:fldChar w:fldCharType="separate"/>
      </w:r>
      <w:r>
        <w:rPr>
          <w:rStyle w:val="16"/>
          <w:rFonts w:ascii="Times New Roman" w:hAnsi="Times New Roman" w:cs="Times New Roman" w:eastAsiaTheme="minorHAnsi"/>
          <w:color w:val="auto"/>
          <w:sz w:val="24"/>
          <w:szCs w:val="24"/>
        </w:rPr>
        <w:t>art. 14 da Lei nº 14.133/2021</w:t>
      </w:r>
      <w:r>
        <w:rPr>
          <w:rStyle w:val="16"/>
          <w:rFonts w:ascii="Times New Roman" w:hAnsi="Times New Roman" w:cs="Times New Roman" w:eastAsiaTheme="minorHAnsi"/>
          <w:color w:val="auto"/>
          <w:sz w:val="24"/>
          <w:szCs w:val="24"/>
        </w:rPr>
        <w:fldChar w:fldCharType="end"/>
      </w:r>
      <w:r>
        <w:rPr>
          <w:rFonts w:ascii="Times New Roman" w:hAnsi="Times New Roman" w:cs="Times New Roman"/>
          <w:color w:val="auto"/>
          <w:sz w:val="24"/>
          <w:szCs w:val="24"/>
        </w:rPr>
        <w:t>,</w:t>
      </w:r>
      <w:r>
        <w:rPr>
          <w:rFonts w:ascii="Times New Roman" w:hAnsi="Times New Roman" w:cs="Times New Roman"/>
          <w:sz w:val="24"/>
          <w:szCs w:val="24"/>
        </w:rPr>
        <w:t xml:space="preserve"> legislação correlata e no item 3.9 do Edital, </w:t>
      </w:r>
      <w:r>
        <w:rPr>
          <w:rFonts w:ascii="Times New Roman" w:hAnsi="Times New Roman" w:cs="Times New Roman"/>
          <w:color w:val="auto"/>
          <w:sz w:val="24"/>
          <w:szCs w:val="24"/>
          <w:lang w:eastAsia="ar-SA"/>
        </w:rPr>
        <w:t>especialmente quanto à existência de sanção que impeça a participação no certame ou a futura contratação,</w:t>
      </w:r>
      <w:r>
        <w:rPr>
          <w:rFonts w:ascii="Times New Roman" w:hAnsi="Times New Roman" w:cs="Times New Roman"/>
          <w:sz w:val="24"/>
          <w:szCs w:val="24"/>
          <w:lang w:eastAsia="ar-SA"/>
        </w:rPr>
        <w:t xml:space="preserve"> mediante a consulta aos seguintes cadastros:</w:t>
      </w:r>
    </w:p>
    <w:p w14:paraId="0D03F72A">
      <w:pPr>
        <w:pStyle w:val="61"/>
        <w:spacing w:before="288" w:beforeLines="120" w:after="288" w:afterLines="120" w:line="288" w:lineRule="auto"/>
        <w:ind w:left="0"/>
        <w:jc w:val="both"/>
        <w:rPr>
          <w:sz w:val="24"/>
          <w:szCs w:val="24"/>
          <w:lang w:eastAsia="ar-SA"/>
        </w:rPr>
      </w:pPr>
      <w:r>
        <w:rPr>
          <w:sz w:val="24"/>
          <w:szCs w:val="24"/>
          <w:lang w:eastAsia="ar-SA"/>
        </w:rPr>
        <w:t xml:space="preserve">a) SICAF;  </w:t>
      </w:r>
    </w:p>
    <w:p w14:paraId="6C2DC2CC">
      <w:pPr>
        <w:pStyle w:val="61"/>
        <w:spacing w:before="288" w:beforeLines="120" w:after="288" w:afterLines="120" w:line="288" w:lineRule="auto"/>
        <w:ind w:left="0"/>
        <w:jc w:val="both"/>
        <w:rPr>
          <w:sz w:val="24"/>
          <w:szCs w:val="24"/>
          <w:lang w:eastAsia="ar-SA"/>
        </w:rPr>
      </w:pPr>
    </w:p>
    <w:p w14:paraId="32970352">
      <w:pPr>
        <w:pStyle w:val="61"/>
        <w:spacing w:before="288" w:beforeLines="120" w:after="288" w:afterLines="120" w:line="288" w:lineRule="auto"/>
        <w:ind w:left="0"/>
        <w:jc w:val="both"/>
        <w:rPr>
          <w:sz w:val="24"/>
          <w:szCs w:val="24"/>
          <w:lang w:eastAsia="ar-SA"/>
        </w:rPr>
      </w:pPr>
      <w:r>
        <w:rPr>
          <w:sz w:val="24"/>
          <w:szCs w:val="24"/>
          <w:lang w:eastAsia="ar-SA"/>
        </w:rPr>
        <w:t>b) Cadastro Nacional de Empresas Inidôneas e Suspensas - CEIS, mantido pela Controladoria-Geral da União (</w:t>
      </w:r>
      <w:r>
        <w:fldChar w:fldCharType="begin"/>
      </w:r>
      <w:r>
        <w:instrText xml:space="preserve"> HYPERLINK "https://www.portaltransparencia.gov.br/sancoes/ceis" </w:instrText>
      </w:r>
      <w:r>
        <w:fldChar w:fldCharType="separate"/>
      </w:r>
      <w:r>
        <w:rPr>
          <w:rStyle w:val="16"/>
          <w:rFonts w:eastAsiaTheme="minorHAnsi"/>
          <w:sz w:val="24"/>
          <w:szCs w:val="24"/>
          <w:lang w:eastAsia="ar-SA"/>
        </w:rPr>
        <w:t>https://www.portaltransparencia.gov.br/sancoes/ceis</w:t>
      </w:r>
      <w:r>
        <w:rPr>
          <w:rStyle w:val="16"/>
          <w:rFonts w:eastAsiaTheme="minorHAnsi"/>
          <w:sz w:val="24"/>
          <w:szCs w:val="24"/>
          <w:lang w:eastAsia="ar-SA"/>
        </w:rPr>
        <w:fldChar w:fldCharType="end"/>
      </w:r>
      <w:r>
        <w:rPr>
          <w:sz w:val="24"/>
          <w:szCs w:val="24"/>
          <w:lang w:eastAsia="ar-SA"/>
        </w:rPr>
        <w:t xml:space="preserve">); </w:t>
      </w:r>
    </w:p>
    <w:p w14:paraId="66673A54">
      <w:pPr>
        <w:pStyle w:val="61"/>
        <w:spacing w:before="288" w:beforeLines="120" w:after="288" w:afterLines="120" w:line="288" w:lineRule="auto"/>
        <w:ind w:left="0"/>
        <w:jc w:val="both"/>
        <w:rPr>
          <w:sz w:val="24"/>
          <w:szCs w:val="24"/>
          <w:lang w:eastAsia="ar-SA"/>
        </w:rPr>
      </w:pPr>
    </w:p>
    <w:p w14:paraId="213584AE">
      <w:pPr>
        <w:pStyle w:val="61"/>
        <w:spacing w:before="288" w:beforeLines="120" w:after="288" w:afterLines="120" w:line="288" w:lineRule="auto"/>
        <w:ind w:left="0"/>
        <w:jc w:val="both"/>
        <w:rPr>
          <w:sz w:val="24"/>
          <w:szCs w:val="24"/>
          <w:lang w:eastAsia="ar-SA"/>
        </w:rPr>
      </w:pPr>
      <w:r>
        <w:rPr>
          <w:sz w:val="24"/>
          <w:szCs w:val="24"/>
          <w:lang w:eastAsia="ar-SA"/>
        </w:rPr>
        <w:t>c) Cadastro Nacional de Condenações Cíveis por Atos de Improbidade Administrativa, mantido pelo Conselho Nacional de Justiça (www.cnj.jus.br/improbidade_adm/consultar_requerido.php);</w:t>
      </w:r>
    </w:p>
    <w:p w14:paraId="1D2FCAB9">
      <w:pPr>
        <w:pStyle w:val="61"/>
        <w:spacing w:before="288" w:beforeLines="120" w:after="288" w:afterLines="120" w:line="288" w:lineRule="auto"/>
        <w:ind w:left="0"/>
        <w:jc w:val="both"/>
        <w:rPr>
          <w:sz w:val="24"/>
          <w:szCs w:val="24"/>
          <w:lang w:eastAsia="ar-SA"/>
        </w:rPr>
      </w:pPr>
    </w:p>
    <w:p w14:paraId="4D80E7EF">
      <w:pPr>
        <w:pStyle w:val="61"/>
        <w:spacing w:before="288" w:beforeLines="120" w:after="288" w:afterLines="120" w:line="288" w:lineRule="auto"/>
        <w:ind w:left="0"/>
        <w:jc w:val="both"/>
        <w:rPr>
          <w:sz w:val="24"/>
          <w:szCs w:val="24"/>
          <w:lang w:eastAsia="ar-SA"/>
        </w:rPr>
      </w:pPr>
      <w:r>
        <w:rPr>
          <w:sz w:val="24"/>
          <w:szCs w:val="24"/>
          <w:lang w:eastAsia="ar-SA"/>
        </w:rPr>
        <w:t>d) Cadastro Nacional de Empresas Punidas – CNEP, mantido pela Controladoria-Geral da União (</w:t>
      </w:r>
      <w:r>
        <w:fldChar w:fldCharType="begin"/>
      </w:r>
      <w:r>
        <w:instrText xml:space="preserve"> HYPERLINK "https://www.portaltransparencia.gov.br/sancoes/cnep" </w:instrText>
      </w:r>
      <w:r>
        <w:fldChar w:fldCharType="separate"/>
      </w:r>
      <w:r>
        <w:rPr>
          <w:rStyle w:val="16"/>
          <w:rFonts w:eastAsiaTheme="minorHAnsi"/>
          <w:sz w:val="24"/>
          <w:szCs w:val="24"/>
          <w:lang w:eastAsia="ar-SA"/>
        </w:rPr>
        <w:t>https://www.portaltransparencia.gov.br/sancoes/cnep</w:t>
      </w:r>
      <w:r>
        <w:rPr>
          <w:rStyle w:val="16"/>
          <w:rFonts w:eastAsiaTheme="minorHAnsi"/>
          <w:sz w:val="24"/>
          <w:szCs w:val="24"/>
          <w:lang w:eastAsia="ar-SA"/>
        </w:rPr>
        <w:fldChar w:fldCharType="end"/>
      </w:r>
      <w:r>
        <w:rPr>
          <w:sz w:val="24"/>
          <w:szCs w:val="24"/>
          <w:lang w:eastAsia="ar-SA"/>
        </w:rPr>
        <w:t>);</w:t>
      </w:r>
    </w:p>
    <w:p w14:paraId="654E95A9">
      <w:pPr>
        <w:pStyle w:val="61"/>
        <w:spacing w:before="288" w:beforeLines="120" w:after="288" w:afterLines="120" w:line="288" w:lineRule="auto"/>
        <w:ind w:left="0"/>
        <w:jc w:val="both"/>
        <w:rPr>
          <w:sz w:val="24"/>
          <w:szCs w:val="24"/>
          <w:lang w:eastAsia="ar-SA"/>
        </w:rPr>
      </w:pPr>
    </w:p>
    <w:p w14:paraId="12D06C6F">
      <w:pPr>
        <w:pStyle w:val="61"/>
        <w:spacing w:before="288" w:beforeLines="120" w:after="288" w:afterLines="120" w:line="288" w:lineRule="auto"/>
        <w:ind w:left="0"/>
        <w:jc w:val="both"/>
        <w:rPr>
          <w:sz w:val="24"/>
          <w:szCs w:val="24"/>
          <w:lang w:eastAsia="ar-SA"/>
        </w:rPr>
      </w:pPr>
      <w:r>
        <w:rPr>
          <w:sz w:val="24"/>
          <w:szCs w:val="24"/>
          <w:lang w:eastAsia="ar-SA"/>
        </w:rPr>
        <w:t>e) Lista de inidôneos mantida pelo Tribunal de Contas da União; e</w:t>
      </w:r>
    </w:p>
    <w:p w14:paraId="60DC9159">
      <w:pPr>
        <w:pStyle w:val="61"/>
        <w:spacing w:before="288" w:beforeLines="120" w:after="288" w:afterLines="120" w:line="288" w:lineRule="auto"/>
        <w:ind w:left="0"/>
        <w:jc w:val="both"/>
        <w:rPr>
          <w:sz w:val="24"/>
          <w:szCs w:val="24"/>
          <w:lang w:eastAsia="ar-SA"/>
        </w:rPr>
      </w:pPr>
    </w:p>
    <w:p w14:paraId="08C0F7ED">
      <w:pPr>
        <w:pStyle w:val="61"/>
        <w:spacing w:before="288" w:beforeLines="120" w:after="288" w:afterLines="120" w:line="288" w:lineRule="auto"/>
        <w:ind w:left="0"/>
        <w:jc w:val="both"/>
        <w:rPr>
          <w:sz w:val="24"/>
          <w:szCs w:val="24"/>
          <w:lang w:eastAsia="ar-SA"/>
        </w:rPr>
      </w:pPr>
      <w:r>
        <w:rPr>
          <w:sz w:val="24"/>
          <w:szCs w:val="24"/>
          <w:lang w:eastAsia="ar-SA"/>
        </w:rPr>
        <w:t>f) módulo Registro de Ocorrências do Comprasnet.</w:t>
      </w:r>
    </w:p>
    <w:p w14:paraId="6DF3E47C">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7.11 Caso o licitante provisoriamente classificado em primeiro lugar tenha se utilizado de algum tratamento favorecido às ME/EPPs, o Pregoeiro verificará se faz jus ao benefício, em conformidade com os itens 3.8 e 4.5 deste Edital.</w:t>
      </w:r>
    </w:p>
    <w:p w14:paraId="40915B63">
      <w:pPr>
        <w:pStyle w:val="97"/>
        <w:spacing w:before="0" w:beforeAutospacing="0" w:after="0" w:afterAutospacing="0" w:line="288" w:lineRule="auto"/>
        <w:contextualSpacing/>
        <w:jc w:val="both"/>
        <w:rPr>
          <w:rFonts w:eastAsia="Calibri"/>
          <w:b/>
          <w:bCs/>
          <w:lang w:eastAsia="en-US"/>
        </w:rPr>
      </w:pPr>
      <w:r>
        <w:rPr>
          <w:rFonts w:eastAsia="Calibri"/>
          <w:b/>
          <w:bCs/>
          <w:lang w:eastAsia="en-US"/>
        </w:rPr>
        <w:t>8. DA FASE DE HABILITAÇÃO</w:t>
      </w:r>
    </w:p>
    <w:p w14:paraId="236BC600">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8.1 A consulta aos cadastros será realizada em nome da empresa licitante e também de seu sócio majoritário, por força da vedação de que trata o </w:t>
      </w:r>
      <w:r>
        <w:fldChar w:fldCharType="begin"/>
      </w:r>
      <w:r>
        <w:instrText xml:space="preserve"> HYPERLINK "https://www.planalto.gov.br/ccivil_03/leis/l8429.htm" \l ":~:text=%C3%A0s%20seguintes%20comina%C3%A7%C3%B5es%3A-,Art.,n%C2%BA%2012.120%2C%20de%202009)." </w:instrText>
      </w:r>
      <w:r>
        <w:fldChar w:fldCharType="separate"/>
      </w:r>
      <w:r>
        <w:rPr>
          <w:rStyle w:val="16"/>
          <w:rFonts w:ascii="Times New Roman" w:hAnsi="Times New Roman" w:cs="Times New Roman" w:eastAsiaTheme="minorHAnsi"/>
          <w:color w:val="auto"/>
          <w:sz w:val="24"/>
          <w:szCs w:val="24"/>
        </w:rPr>
        <w:t>art. 12 da Lei nº 8.429/1992</w:t>
      </w:r>
      <w:r>
        <w:rPr>
          <w:rStyle w:val="16"/>
          <w:rFonts w:ascii="Times New Roman" w:hAnsi="Times New Roman" w:cs="Times New Roman" w:eastAsiaTheme="minorHAnsi"/>
          <w:color w:val="auto"/>
          <w:sz w:val="24"/>
          <w:szCs w:val="24"/>
        </w:rPr>
        <w:fldChar w:fldCharType="end"/>
      </w:r>
      <w:r>
        <w:rPr>
          <w:rFonts w:ascii="Times New Roman" w:hAnsi="Times New Roman" w:cs="Times New Roman"/>
          <w:sz w:val="24"/>
          <w:szCs w:val="24"/>
        </w:rPr>
        <w:t>.</w:t>
      </w:r>
    </w:p>
    <w:p w14:paraId="7897AA17">
      <w:pPr>
        <w:pStyle w:val="99"/>
        <w:spacing w:before="288" w:beforeLines="120" w:after="288" w:afterLines="120" w:line="288" w:lineRule="auto"/>
        <w:ind w:left="0" w:firstLine="0"/>
        <w:contextualSpacing/>
        <w:rPr>
          <w:rFonts w:ascii="Times New Roman" w:hAnsi="Times New Roman" w:cs="Times New Roman"/>
          <w:sz w:val="24"/>
          <w:szCs w:val="24"/>
        </w:rPr>
      </w:pPr>
    </w:p>
    <w:p w14:paraId="6D65281E">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8.2 Caso conste na Consulta de Situação do l</w:t>
      </w:r>
      <w:r>
        <w:rPr>
          <w:rFonts w:ascii="Times New Roman" w:hAnsi="Times New Roman" w:cs="Times New Roman"/>
          <w:color w:val="auto"/>
          <w:sz w:val="24"/>
          <w:szCs w:val="24"/>
        </w:rPr>
        <w:t xml:space="preserve">icitante </w:t>
      </w:r>
      <w:r>
        <w:rPr>
          <w:rFonts w:ascii="Times New Roman" w:hAnsi="Times New Roman" w:cs="Times New Roman"/>
          <w:sz w:val="24"/>
          <w:szCs w:val="24"/>
        </w:rPr>
        <w:t xml:space="preserve">a existência de Ocorrências Impeditivas Indiretas, o </w:t>
      </w:r>
      <w:r>
        <w:rPr>
          <w:rFonts w:ascii="Times New Roman" w:hAnsi="Times New Roman" w:cs="Times New Roman"/>
          <w:color w:val="auto"/>
          <w:sz w:val="24"/>
          <w:szCs w:val="24"/>
        </w:rPr>
        <w:t>Pregoeiro diligenciará para v</w:t>
      </w:r>
      <w:r>
        <w:rPr>
          <w:rFonts w:ascii="Times New Roman" w:hAnsi="Times New Roman" w:cs="Times New Roman"/>
          <w:sz w:val="24"/>
          <w:szCs w:val="24"/>
        </w:rPr>
        <w:t xml:space="preserve">erificar se houve fraude por parte das empresas apontadas no Relatório de Ocorrências Impeditivas Indiretas. </w:t>
      </w:r>
    </w:p>
    <w:p w14:paraId="5CC0F92A">
      <w:pPr>
        <w:pStyle w:val="10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8.3.1 A tentativa de burla será verificada por meio dos vínculos societários, linhas de fornecimento similares, dentre outros. </w:t>
      </w:r>
    </w:p>
    <w:p w14:paraId="72239A3E">
      <w:pPr>
        <w:pStyle w:val="103"/>
        <w:spacing w:before="288" w:beforeLines="120" w:after="288" w:afterLines="120" w:line="288" w:lineRule="auto"/>
        <w:ind w:left="0" w:firstLine="0"/>
        <w:contextualSpacing/>
        <w:rPr>
          <w:rFonts w:ascii="Times New Roman" w:hAnsi="Times New Roman" w:cs="Times New Roman"/>
          <w:sz w:val="24"/>
          <w:szCs w:val="24"/>
        </w:rPr>
      </w:pPr>
    </w:p>
    <w:p w14:paraId="5AE1427E">
      <w:pPr>
        <w:pStyle w:val="10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8.3.2 O licitante será convocado para manifestação previamente a uma eventual desclassificação. </w:t>
      </w:r>
    </w:p>
    <w:p w14:paraId="0EC0D34A">
      <w:pPr>
        <w:pStyle w:val="103"/>
        <w:spacing w:before="288" w:beforeLines="120" w:after="288" w:afterLines="120" w:line="288" w:lineRule="auto"/>
        <w:ind w:left="0" w:firstLine="0"/>
        <w:contextualSpacing/>
        <w:rPr>
          <w:rFonts w:ascii="Times New Roman" w:hAnsi="Times New Roman" w:cs="Times New Roman"/>
          <w:sz w:val="24"/>
          <w:szCs w:val="24"/>
        </w:rPr>
      </w:pPr>
    </w:p>
    <w:p w14:paraId="1676667F">
      <w:pPr>
        <w:pStyle w:val="10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8.3.3 Constatada a existência de sanção, o licitante será reputado inabilitado, por falta de condição de participação.</w:t>
      </w:r>
    </w:p>
    <w:p w14:paraId="5746DAD8">
      <w:pPr>
        <w:pStyle w:val="99"/>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8.5 Será exigida a apresentação dos documentos de habilitação que trata o </w:t>
      </w:r>
      <w:r>
        <w:rPr>
          <w:rFonts w:ascii="Times New Roman" w:hAnsi="Times New Roman" w:cs="Times New Roman"/>
          <w:color w:val="auto"/>
          <w:sz w:val="24"/>
          <w:szCs w:val="24"/>
        </w:rPr>
        <w:t xml:space="preserve">Anexo referente aos requisitos de habilitação </w:t>
      </w:r>
      <w:r>
        <w:rPr>
          <w:rFonts w:ascii="Times New Roman" w:hAnsi="Times New Roman" w:cs="Times New Roman"/>
          <w:sz w:val="24"/>
          <w:szCs w:val="24"/>
        </w:rPr>
        <w:t>deste Edital apenas ao licitante vencedor.</w:t>
      </w:r>
    </w:p>
    <w:p w14:paraId="54467FF6">
      <w:pPr>
        <w:pStyle w:val="99"/>
        <w:spacing w:before="57" w:beforeLines="24" w:after="57" w:afterLines="24" w:line="288" w:lineRule="auto"/>
        <w:ind w:left="0" w:right="-2" w:firstLine="0"/>
        <w:contextualSpacing/>
        <w:rPr>
          <w:rFonts w:ascii="Times New Roman" w:hAnsi="Times New Roman" w:cs="Times New Roman"/>
          <w:color w:val="auto"/>
          <w:sz w:val="24"/>
          <w:szCs w:val="24"/>
        </w:rPr>
      </w:pPr>
      <w:bookmarkStart w:id="30" w:name="_Hlk178688754"/>
    </w:p>
    <w:p w14:paraId="2FA7E4FF">
      <w:pPr>
        <w:pStyle w:val="99"/>
        <w:spacing w:before="57" w:beforeLines="24" w:after="57" w:afterLines="24" w:line="288" w:lineRule="auto"/>
        <w:ind w:left="0" w:right="-2"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8.6 Caso atendidas as condições de participação, a habilitação do licitante provisoriamente classificado em primeiro lugar será verificada pelo Pregoeiro por meio do registro cadastral no SICAF, quanto aos documentos por este abrangidos.</w:t>
      </w:r>
    </w:p>
    <w:p w14:paraId="5708E24D">
      <w:pPr>
        <w:pStyle w:val="103"/>
        <w:spacing w:before="57" w:beforeLines="24" w:after="57" w:afterLines="24" w:line="288" w:lineRule="auto"/>
        <w:ind w:left="0" w:right="-2"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 xml:space="preserve">8.6.1 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p>
    <w:p w14:paraId="0ADE91BF">
      <w:pPr>
        <w:pStyle w:val="103"/>
        <w:spacing w:before="57" w:beforeLines="24" w:after="57" w:afterLines="24" w:line="288" w:lineRule="auto"/>
        <w:ind w:left="0" w:right="-2"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8.6.2 A não observância do disposto no item anterior poderá ensejar desclassificação no momento da habilitação, exceto se o Pregoeiro, em consulta aos sítios eletrônicos oficiais de órgãos e entidades emissores de certidões, lograr êxito em encontrar a(s) certidão(ões) válida(s).</w:t>
      </w:r>
    </w:p>
    <w:p w14:paraId="178A03D6">
      <w:pPr>
        <w:pStyle w:val="103"/>
        <w:spacing w:before="57" w:beforeLines="24" w:after="57" w:afterLines="24" w:line="288" w:lineRule="auto"/>
        <w:ind w:left="0" w:right="-2"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8.6.3 Havendo a necessidade de envio de documentos de habilitação complementares, necessários à confirmação dos já apresentados para a habilitação, ou de documentos não constantes do SICAF, o licitante provisoriamente classificado em primeiro lugar será convocado a encaminhá-los, em formato digital, por meio do sistema, no prazo de até 5 (cinco) dias úteis, sob pena de inabilitação.</w:t>
      </w:r>
    </w:p>
    <w:p w14:paraId="24C1EC1B">
      <w:pPr>
        <w:pStyle w:val="103"/>
        <w:spacing w:before="57" w:beforeLines="24" w:after="57" w:afterLines="24" w:line="288" w:lineRule="auto"/>
        <w:ind w:left="0" w:right="-2" w:firstLine="0"/>
        <w:contextualSpacing/>
        <w:rPr>
          <w:rFonts w:ascii="Times New Roman" w:hAnsi="Times New Roman" w:cs="Times New Roman"/>
          <w:color w:val="FF0000"/>
          <w:sz w:val="24"/>
          <w:szCs w:val="24"/>
        </w:rPr>
      </w:pPr>
      <w:r>
        <w:rPr>
          <w:rFonts w:ascii="Times New Roman" w:hAnsi="Times New Roman" w:cs="Times New Roman"/>
          <w:color w:val="auto"/>
          <w:sz w:val="24"/>
          <w:szCs w:val="24"/>
        </w:rPr>
        <w:t>8.6.4 Somente haverá a necessidade de comprovação do preenchimento de requisitos mediante apresentação dos documentos originais não-digitais quando houver dúvida em relação à integridade do documento digital ou quando a lei expressamente o exigir.</w:t>
      </w:r>
    </w:p>
    <w:bookmarkEnd w:id="30"/>
    <w:p w14:paraId="3E8B8699">
      <w:pPr>
        <w:pStyle w:val="99"/>
        <w:spacing w:before="57" w:beforeLines="24" w:after="57" w:afterLines="24" w:line="288" w:lineRule="auto"/>
        <w:ind w:left="0" w:firstLine="0"/>
        <w:contextualSpacing/>
        <w:rPr>
          <w:rFonts w:ascii="Times New Roman" w:hAnsi="Times New Roman" w:cs="Times New Roman"/>
          <w:sz w:val="24"/>
          <w:szCs w:val="24"/>
        </w:rPr>
      </w:pPr>
    </w:p>
    <w:p w14:paraId="09B77DAB">
      <w:pPr>
        <w:pStyle w:val="99"/>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8.7 Após a apresentação dos documentos de habilitação, fica vedada a substituição ou a apresentação de novos documentos, salvo em sede de diligência, para:</w:t>
      </w:r>
    </w:p>
    <w:p w14:paraId="5F5CB3AE">
      <w:pPr>
        <w:pStyle w:val="99"/>
        <w:spacing w:before="57" w:beforeLines="24" w:after="57" w:afterLines="24" w:line="288" w:lineRule="auto"/>
        <w:ind w:left="0" w:firstLine="0"/>
        <w:contextualSpacing/>
        <w:rPr>
          <w:rFonts w:ascii="Times New Roman" w:hAnsi="Times New Roman" w:cs="Times New Roman"/>
          <w:sz w:val="24"/>
          <w:szCs w:val="24"/>
        </w:rPr>
      </w:pPr>
    </w:p>
    <w:p w14:paraId="0265FAA6">
      <w:pPr>
        <w:pStyle w:val="99"/>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a) complementação de informações acerca dos documentos já apresentados pelos licitantes e desde que necessária para apurar fatos existentes à época da abertura do certame; e</w:t>
      </w:r>
    </w:p>
    <w:p w14:paraId="1D4D5D04">
      <w:pPr>
        <w:pStyle w:val="99"/>
        <w:spacing w:before="57" w:beforeLines="24" w:after="57" w:afterLines="24" w:line="288" w:lineRule="auto"/>
        <w:ind w:left="0" w:firstLine="0"/>
        <w:contextualSpacing/>
        <w:rPr>
          <w:rFonts w:ascii="Times New Roman" w:hAnsi="Times New Roman" w:cs="Times New Roman"/>
          <w:sz w:val="24"/>
          <w:szCs w:val="24"/>
        </w:rPr>
      </w:pPr>
    </w:p>
    <w:p w14:paraId="3BF62A76">
      <w:pPr>
        <w:pStyle w:val="99"/>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b) atualização de documentos cuja validade tenha expirado após a data de recebimento das propostas.</w:t>
      </w:r>
    </w:p>
    <w:p w14:paraId="6DC7D0B3">
      <w:pPr>
        <w:pStyle w:val="99"/>
        <w:spacing w:before="57" w:beforeLines="24" w:after="57" w:afterLines="24" w:line="288" w:lineRule="auto"/>
        <w:ind w:left="0" w:firstLine="0"/>
        <w:contextualSpacing/>
        <w:rPr>
          <w:rFonts w:ascii="Times New Roman" w:hAnsi="Times New Roman" w:cs="Times New Roman"/>
          <w:sz w:val="24"/>
          <w:szCs w:val="24"/>
        </w:rPr>
      </w:pPr>
    </w:p>
    <w:p w14:paraId="259E4915">
      <w:pPr>
        <w:pStyle w:val="99"/>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8.8 O Pregoeiro poderá, na análise dos documentos de habilitação, sanar erros ou falhas que não alterem a substância dos documentos e sua validade jurídica, mediante decisão fundamentada, registrada em ata e acessível a todos, atribuindo-lhes eficácia para fins de habilitação.</w:t>
      </w:r>
    </w:p>
    <w:p w14:paraId="44666D64">
      <w:pPr>
        <w:pStyle w:val="99"/>
        <w:spacing w:before="57" w:beforeLines="24" w:after="57" w:afterLines="24" w:line="288" w:lineRule="auto"/>
        <w:ind w:left="0" w:firstLine="0"/>
        <w:contextualSpacing/>
        <w:rPr>
          <w:rFonts w:ascii="Times New Roman" w:hAnsi="Times New Roman" w:cs="Times New Roman"/>
          <w:sz w:val="24"/>
          <w:szCs w:val="24"/>
        </w:rPr>
      </w:pPr>
    </w:p>
    <w:p w14:paraId="287F691A">
      <w:pPr>
        <w:pStyle w:val="103"/>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8.8.1 Na hipótese de necessidade de suspensão da sessão pública para a realização de diligências, com vistas ao saneamento de que trata o subitem anterior, a sessão pública somente poderá ser reiniciada mediante aviso prévio no sistema com, no mínimo, vinte e quatro horas de antecedência, e a ocorrência será registrada em ata.</w:t>
      </w:r>
    </w:p>
    <w:p w14:paraId="3AEFC0C5">
      <w:pPr>
        <w:pStyle w:val="103"/>
        <w:spacing w:before="57" w:beforeLines="24" w:after="57" w:afterLines="24" w:line="288" w:lineRule="auto"/>
        <w:ind w:left="0" w:firstLine="0"/>
        <w:contextualSpacing/>
        <w:rPr>
          <w:rFonts w:ascii="Times New Roman" w:hAnsi="Times New Roman" w:cs="Times New Roman"/>
          <w:sz w:val="24"/>
          <w:szCs w:val="24"/>
        </w:rPr>
      </w:pPr>
    </w:p>
    <w:p w14:paraId="1AC3137F">
      <w:pPr>
        <w:pStyle w:val="99"/>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8.9 Na hipótese de o licitante provisoriamente classificado em primeiro lugar não atender às exigências para a habilitação, o órgão ou entidade examinará a proposta subsequente e assim sucessivamente, na ordem de classificação, até a apuração de uma proposta que atenda às especificações do objeto e as condições de habilitação.</w:t>
      </w:r>
    </w:p>
    <w:p w14:paraId="48CF9F04">
      <w:pPr>
        <w:pStyle w:val="99"/>
        <w:spacing w:before="57" w:beforeLines="24" w:after="57" w:afterLines="24" w:line="288" w:lineRule="auto"/>
        <w:ind w:left="0" w:firstLine="0"/>
        <w:contextualSpacing/>
        <w:rPr>
          <w:rFonts w:ascii="Times New Roman" w:hAnsi="Times New Roman" w:cs="Times New Roman"/>
          <w:sz w:val="24"/>
          <w:szCs w:val="24"/>
        </w:rPr>
      </w:pPr>
    </w:p>
    <w:p w14:paraId="601438EA">
      <w:pPr>
        <w:pStyle w:val="99"/>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8.10 Constatado o atendimento às exigências de habilitação, o licitante será habilitado.</w:t>
      </w:r>
    </w:p>
    <w:p w14:paraId="02D84865">
      <w:pPr>
        <w:pStyle w:val="99"/>
        <w:spacing w:before="57" w:beforeLines="24" w:after="57" w:afterLines="24" w:line="288" w:lineRule="auto"/>
        <w:ind w:left="0" w:firstLine="0"/>
        <w:contextualSpacing/>
        <w:rPr>
          <w:rFonts w:ascii="Times New Roman" w:hAnsi="Times New Roman" w:cs="Times New Roman"/>
          <w:sz w:val="24"/>
          <w:szCs w:val="24"/>
        </w:rPr>
      </w:pPr>
    </w:p>
    <w:p w14:paraId="3E5E06EF">
      <w:pPr>
        <w:pStyle w:val="99"/>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8.11 Somente serão disponibilizados para acesso público os documentos de habilitação do licitante cuja proposta atenda ao edital de licitação, após declarada sua habilitação. </w:t>
      </w:r>
    </w:p>
    <w:p w14:paraId="383CDA2A">
      <w:pPr>
        <w:pStyle w:val="99"/>
        <w:spacing w:before="57" w:beforeLines="24" w:after="57" w:afterLines="24" w:line="288" w:lineRule="auto"/>
        <w:ind w:left="0" w:firstLine="0"/>
        <w:contextualSpacing/>
        <w:rPr>
          <w:rFonts w:ascii="Times New Roman" w:hAnsi="Times New Roman" w:cs="Times New Roman"/>
          <w:sz w:val="24"/>
          <w:szCs w:val="24"/>
        </w:rPr>
      </w:pPr>
    </w:p>
    <w:p w14:paraId="118A57D9">
      <w:pPr>
        <w:pStyle w:val="99"/>
        <w:spacing w:before="57" w:beforeLines="24" w:after="57" w:afterLines="24"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8.12 Não serão aceitos documentos de habilitação com indicação de CNPJ/CPF diferentes, salvo aqueles legalmente permitidos.</w:t>
      </w:r>
    </w:p>
    <w:p w14:paraId="0358EA77">
      <w:pPr>
        <w:pStyle w:val="99"/>
        <w:spacing w:before="57" w:beforeLines="24" w:after="57" w:afterLines="24" w:line="288" w:lineRule="auto"/>
        <w:ind w:left="0" w:firstLine="0"/>
        <w:contextualSpacing/>
        <w:rPr>
          <w:rFonts w:ascii="Times New Roman" w:hAnsi="Times New Roman" w:cs="Times New Roman"/>
          <w:color w:val="auto"/>
          <w:sz w:val="24"/>
          <w:szCs w:val="24"/>
        </w:rPr>
      </w:pPr>
    </w:p>
    <w:p w14:paraId="0527876A">
      <w:pPr>
        <w:pStyle w:val="103"/>
        <w:spacing w:before="57" w:beforeLines="24" w:after="57" w:afterLines="24"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8.12.1 Se o fornecedor for a matriz, todos os documentos deverão estar em nome da matriz, e se o licitante for a filial, todos os documentos deverão estar em nome da filial, exceto para atestados de capacidade técnica, e no caso daqueles documentos que, pela própria natureza, comprovadamente, forem emitidos somente em nome da matriz.</w:t>
      </w:r>
    </w:p>
    <w:p w14:paraId="5882991D">
      <w:pPr>
        <w:pStyle w:val="103"/>
        <w:spacing w:before="57" w:beforeLines="24" w:after="57" w:afterLines="24" w:line="288" w:lineRule="auto"/>
        <w:ind w:left="0" w:firstLine="0"/>
        <w:contextualSpacing/>
        <w:rPr>
          <w:rFonts w:ascii="Times New Roman" w:hAnsi="Times New Roman" w:cs="Times New Roman"/>
          <w:color w:val="auto"/>
          <w:sz w:val="24"/>
          <w:szCs w:val="24"/>
        </w:rPr>
      </w:pPr>
    </w:p>
    <w:p w14:paraId="2538E2CD">
      <w:pPr>
        <w:pStyle w:val="103"/>
        <w:spacing w:before="57" w:beforeLines="24" w:after="57" w:afterLines="24"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8.12.2 Serão aceitos registros de CNPJ de licitante matriz e filial com diferenças de números de documentos pertinentes ao CND e ao CRF/FGTS, quando for comprovada a centralização do recolhimento dessas contribuições.</w:t>
      </w:r>
    </w:p>
    <w:p w14:paraId="12619037">
      <w:pPr>
        <w:pStyle w:val="103"/>
        <w:spacing w:before="57" w:beforeLines="24" w:after="57" w:afterLines="24" w:line="288" w:lineRule="auto"/>
        <w:ind w:left="0" w:firstLine="0"/>
        <w:contextualSpacing/>
        <w:rPr>
          <w:rFonts w:ascii="Times New Roman" w:hAnsi="Times New Roman" w:cs="Times New Roman"/>
          <w:sz w:val="24"/>
          <w:szCs w:val="24"/>
        </w:rPr>
      </w:pPr>
    </w:p>
    <w:p w14:paraId="43E65B3B">
      <w:pPr>
        <w:pStyle w:val="99"/>
        <w:spacing w:before="288" w:beforeLines="120" w:after="288" w:afterLines="120" w:line="288" w:lineRule="auto"/>
        <w:ind w:left="0" w:firstLine="0"/>
        <w:contextualSpacing/>
        <w:rPr>
          <w:rFonts w:ascii="Times New Roman" w:hAnsi="Times New Roman" w:cs="Times New Roman"/>
          <w:color w:val="auto"/>
          <w:sz w:val="24"/>
          <w:szCs w:val="24"/>
        </w:rPr>
      </w:pPr>
      <w:bookmarkStart w:id="31" w:name="_Hlk154307107"/>
      <w:r>
        <w:rPr>
          <w:rFonts w:ascii="Times New Roman" w:hAnsi="Times New Roman" w:cs="Times New Roman"/>
          <w:sz w:val="24"/>
          <w:szCs w:val="24"/>
        </w:rPr>
        <w:t xml:space="preserve">8.13 A comprovação de regularidade fiscal e trabalhista das microempresas e das empresas de pequeno porte será exigida nos termos </w:t>
      </w:r>
      <w:r>
        <w:rPr>
          <w:rFonts w:ascii="Times New Roman" w:hAnsi="Times New Roman" w:eastAsia="Zurich BT" w:cs="Times New Roman"/>
          <w:color w:val="auto"/>
          <w:sz w:val="24"/>
          <w:szCs w:val="24"/>
        </w:rPr>
        <w:t xml:space="preserve">regulamentada pelo </w:t>
      </w:r>
      <w:r>
        <w:rPr>
          <w:rFonts w:ascii="Times New Roman" w:hAnsi="Times New Roman" w:cs="Times New Roman"/>
          <w:sz w:val="24"/>
          <w:szCs w:val="24"/>
        </w:rPr>
        <w:t>Lei Municipal nº 2367/2007.</w:t>
      </w:r>
    </w:p>
    <w:p w14:paraId="7746CAAF">
      <w:pPr>
        <w:pStyle w:val="99"/>
        <w:spacing w:before="288" w:beforeLines="120" w:after="288" w:afterLines="120" w:line="288" w:lineRule="auto"/>
        <w:ind w:left="0" w:firstLine="0"/>
        <w:contextualSpacing/>
        <w:rPr>
          <w:rFonts w:ascii="Times New Roman" w:hAnsi="Times New Roman" w:cs="Times New Roman"/>
          <w:color w:val="auto"/>
          <w:sz w:val="24"/>
          <w:szCs w:val="24"/>
        </w:rPr>
      </w:pPr>
    </w:p>
    <w:p w14:paraId="71DA9D1F">
      <w:pPr>
        <w:pStyle w:val="99"/>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8.14 No caso de contratações para entrega imediata, considerada aquela com prazo de entrega de até 30 (trinta) dias da ordem de fornecimento, cujo valor estimado da contratação não supere o limite do disposto na alínea "c" do inciso IV do Art. 75 da Lei nº 14.133/2021, nas contratações com valores inferiores a 1/4 (um quarto) do limite para dispensa de licitação para compras em geral e nas contratações de produto para pesquisa e desenvolvimento de que trata a alínea "c" do inciso IV do art. 75 da Lei nº 14.133/2021, somente será exigida:</w:t>
      </w:r>
    </w:p>
    <w:p w14:paraId="6ACAB0B6">
      <w:pPr>
        <w:pStyle w:val="99"/>
        <w:spacing w:before="57" w:beforeLines="24" w:after="57" w:afterLines="24" w:line="288" w:lineRule="auto"/>
        <w:ind w:left="0" w:firstLine="0"/>
        <w:contextualSpacing/>
        <w:rPr>
          <w:rFonts w:ascii="Times New Roman" w:hAnsi="Times New Roman" w:cs="Times New Roman"/>
          <w:sz w:val="24"/>
          <w:szCs w:val="24"/>
        </w:rPr>
      </w:pPr>
    </w:p>
    <w:p w14:paraId="7CEA1918">
      <w:pPr>
        <w:pStyle w:val="99"/>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a) das pessoas jurídicas, a comprovação relativa à habilitação jurídica, regularidade fiscal estadual, à Seguridade Social e ao FGTS e a regularidade perante a Justiça do Trabalho; e</w:t>
      </w:r>
    </w:p>
    <w:p w14:paraId="3BD1ABF9">
      <w:pPr>
        <w:pStyle w:val="99"/>
        <w:spacing w:before="57" w:beforeLines="24" w:after="57" w:afterLines="24" w:line="288" w:lineRule="auto"/>
        <w:ind w:left="0" w:firstLine="0"/>
        <w:contextualSpacing/>
        <w:rPr>
          <w:rFonts w:ascii="Times New Roman" w:hAnsi="Times New Roman" w:cs="Times New Roman"/>
          <w:sz w:val="24"/>
          <w:szCs w:val="24"/>
        </w:rPr>
      </w:pPr>
    </w:p>
    <w:p w14:paraId="75BF4BD7">
      <w:pPr>
        <w:pStyle w:val="99"/>
        <w:spacing w:before="57" w:beforeLines="24" w:after="57" w:afterLines="24" w:line="288" w:lineRule="auto"/>
        <w:ind w:left="0" w:firstLine="0"/>
        <w:contextualSpacing/>
        <w:rPr>
          <w:rFonts w:ascii="Times New Roman" w:hAnsi="Times New Roman" w:cs="Times New Roman"/>
          <w:color w:val="FF0000"/>
          <w:sz w:val="24"/>
          <w:szCs w:val="24"/>
        </w:rPr>
      </w:pPr>
      <w:r>
        <w:rPr>
          <w:rFonts w:ascii="Times New Roman" w:hAnsi="Times New Roman" w:cs="Times New Roman"/>
          <w:sz w:val="24"/>
          <w:szCs w:val="24"/>
        </w:rPr>
        <w:t xml:space="preserve">b) das pessoas físicas, a comprovação da regularidade fiscal com a Fazenda </w:t>
      </w:r>
      <w:r>
        <w:rPr>
          <w:rFonts w:ascii="Times New Roman" w:hAnsi="Times New Roman" w:cs="Times New Roman"/>
          <w:color w:val="000000" w:themeColor="text1"/>
          <w:sz w:val="24"/>
          <w:szCs w:val="24"/>
          <w14:textFill>
            <w14:solidFill>
              <w14:schemeClr w14:val="tx1"/>
            </w14:solidFill>
          </w14:textFill>
        </w:rPr>
        <w:t>Estadual, c</w:t>
      </w:r>
      <w:r>
        <w:rPr>
          <w:rFonts w:ascii="Times New Roman" w:hAnsi="Times New Roman" w:cs="Times New Roman"/>
          <w:color w:val="000000" w:themeColor="text1"/>
          <w:sz w:val="24"/>
          <w:szCs w:val="24"/>
          <w:lang w:eastAsia="en-US"/>
          <w14:textFill>
            <w14:solidFill>
              <w14:schemeClr w14:val="tx1"/>
            </w14:solidFill>
          </w14:textFill>
        </w:rPr>
        <w:t>onforme art. 17, §2º, do Decreto nº 45/2025.</w:t>
      </w:r>
    </w:p>
    <w:p w14:paraId="46CD75E2">
      <w:pPr>
        <w:pStyle w:val="99"/>
        <w:spacing w:before="57" w:beforeLines="24" w:after="57" w:afterLines="24" w:line="288" w:lineRule="auto"/>
        <w:ind w:left="0" w:firstLine="0"/>
        <w:contextualSpacing/>
        <w:rPr>
          <w:rFonts w:ascii="Times New Roman" w:hAnsi="Times New Roman" w:cs="Times New Roman"/>
          <w:sz w:val="24"/>
          <w:szCs w:val="24"/>
        </w:rPr>
      </w:pPr>
    </w:p>
    <w:bookmarkEnd w:id="31"/>
    <w:p w14:paraId="533045D4">
      <w:pPr>
        <w:pStyle w:val="99"/>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8.15 Quando permitida a participação de empresas estrangeiras que não funcionem no País, as exigências de habilitação serão atendidas mediante documentos equivalentes, inicialmente apresentados em tradução livre.</w:t>
      </w:r>
    </w:p>
    <w:p w14:paraId="7DF3B0FA">
      <w:pPr>
        <w:pStyle w:val="99"/>
        <w:spacing w:before="57" w:beforeLines="24" w:after="57" w:afterLines="24" w:line="288" w:lineRule="auto"/>
        <w:ind w:left="0" w:firstLine="0"/>
        <w:contextualSpacing/>
        <w:rPr>
          <w:rFonts w:ascii="Times New Roman" w:hAnsi="Times New Roman" w:cs="Times New Roman"/>
          <w:sz w:val="24"/>
          <w:szCs w:val="24"/>
        </w:rPr>
      </w:pPr>
    </w:p>
    <w:p w14:paraId="08D9544B">
      <w:pPr>
        <w:pStyle w:val="103"/>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8.15.1 O licitante deverá ter procurador residente e domiciliado no Brasil, com poderes para receber citação, intimação e responder administrativa e judicialmente por seus atos, juntando o instrumento de mandato com os documentos de habilitação.</w:t>
      </w:r>
    </w:p>
    <w:p w14:paraId="14838343">
      <w:pPr>
        <w:pStyle w:val="103"/>
        <w:spacing w:before="57" w:beforeLines="24" w:after="57" w:afterLines="24" w:line="288" w:lineRule="auto"/>
        <w:ind w:left="0" w:firstLine="0"/>
        <w:contextualSpacing/>
        <w:rPr>
          <w:rFonts w:ascii="Times New Roman" w:hAnsi="Times New Roman" w:cs="Times New Roman"/>
          <w:sz w:val="24"/>
          <w:szCs w:val="24"/>
        </w:rPr>
      </w:pPr>
    </w:p>
    <w:p w14:paraId="144F55CB">
      <w:pPr>
        <w:pStyle w:val="103"/>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8.15.2 Na hipótese de o licitante vencedor ser empresa estrangeira que não funcione no País, para fins de assinatura do contrato ou da ata de registro de preços, os documentos exigidos para a habilitação serão traduzidos por tradutor juramentado no País e apostilados, ou consularizados pelos respectivos consulados ou embaixadas.</w:t>
      </w:r>
    </w:p>
    <w:p w14:paraId="429B05EB">
      <w:pPr>
        <w:pStyle w:val="103"/>
        <w:spacing w:before="57" w:beforeLines="24" w:after="57" w:afterLines="24" w:line="288" w:lineRule="auto"/>
        <w:ind w:left="0" w:firstLine="0"/>
        <w:contextualSpacing/>
        <w:rPr>
          <w:rFonts w:ascii="Times New Roman" w:hAnsi="Times New Roman" w:cs="Times New Roman"/>
          <w:sz w:val="24"/>
          <w:szCs w:val="24"/>
        </w:rPr>
      </w:pPr>
    </w:p>
    <w:p w14:paraId="503ED28D">
      <w:pPr>
        <w:pStyle w:val="99"/>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8.16 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14:paraId="15203E52">
      <w:pPr>
        <w:pStyle w:val="99"/>
        <w:spacing w:before="57" w:beforeLines="24" w:after="57" w:afterLines="24" w:line="288" w:lineRule="auto"/>
        <w:ind w:left="0" w:firstLine="0"/>
        <w:contextualSpacing/>
        <w:rPr>
          <w:rFonts w:ascii="Times New Roman" w:hAnsi="Times New Roman" w:cs="Times New Roman"/>
          <w:sz w:val="24"/>
          <w:szCs w:val="24"/>
        </w:rPr>
      </w:pPr>
    </w:p>
    <w:p w14:paraId="11039420">
      <w:pPr>
        <w:pStyle w:val="103"/>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8.16.1 Se o consórcio não for formado integralmente por microempresas ou empresas de pequeno porte e forem exigidos neste Edital requisitos de habilitação econômico-financeira, haverá um acréscimo </w:t>
      </w:r>
      <w:r>
        <w:rPr>
          <w:rFonts w:ascii="Times New Roman" w:hAnsi="Times New Roman" w:cs="Times New Roman"/>
          <w:color w:val="000000" w:themeColor="text1"/>
          <w:sz w:val="24"/>
          <w:szCs w:val="24"/>
          <w14:textFill>
            <w14:solidFill>
              <w14:schemeClr w14:val="tx1"/>
            </w14:solidFill>
          </w14:textFill>
        </w:rPr>
        <w:t xml:space="preserve">de 10% A 30 % </w:t>
      </w:r>
      <w:r>
        <w:rPr>
          <w:rFonts w:ascii="Times New Roman" w:hAnsi="Times New Roman" w:cs="Times New Roman"/>
          <w:sz w:val="24"/>
          <w:szCs w:val="24"/>
        </w:rPr>
        <w:t>para o consórcio em relação ao valor exigido para os licitantes individuais.</w:t>
      </w:r>
    </w:p>
    <w:p w14:paraId="51565C47">
      <w:pPr>
        <w:pStyle w:val="103"/>
        <w:spacing w:before="57" w:beforeLines="24" w:after="57" w:afterLines="24" w:line="288" w:lineRule="auto"/>
        <w:ind w:left="0" w:firstLine="0"/>
        <w:contextualSpacing/>
        <w:rPr>
          <w:rFonts w:ascii="Times New Roman" w:hAnsi="Times New Roman" w:cs="Times New Roman"/>
          <w:sz w:val="24"/>
          <w:szCs w:val="24"/>
        </w:rPr>
      </w:pPr>
    </w:p>
    <w:p w14:paraId="791EE2A9">
      <w:pPr>
        <w:spacing w:line="288" w:lineRule="auto"/>
        <w:contextualSpacing/>
        <w:jc w:val="both"/>
        <w:rPr>
          <w:color w:val="000000"/>
          <w:sz w:val="24"/>
          <w:szCs w:val="24"/>
        </w:rPr>
      </w:pPr>
      <w:r>
        <w:rPr>
          <w:color w:val="000000"/>
          <w:sz w:val="24"/>
          <w:szCs w:val="24"/>
        </w:rPr>
        <w:t>8.17 As certidões valerão nos prazos que lhes são próprios. Inexistindo esse prazo, reputar-se-ão válidas por 90 (noventa) dias, contados de sua expedição.</w:t>
      </w:r>
    </w:p>
    <w:p w14:paraId="30EA698D">
      <w:pPr>
        <w:spacing w:line="288" w:lineRule="auto"/>
        <w:contextualSpacing/>
        <w:jc w:val="both"/>
        <w:rPr>
          <w:color w:val="000000"/>
          <w:sz w:val="24"/>
          <w:szCs w:val="24"/>
        </w:rPr>
      </w:pPr>
    </w:p>
    <w:p w14:paraId="2BE01F50">
      <w:pPr>
        <w:spacing w:line="288" w:lineRule="auto"/>
        <w:contextualSpacing/>
        <w:jc w:val="both"/>
        <w:rPr>
          <w:color w:val="000000"/>
          <w:sz w:val="24"/>
          <w:szCs w:val="24"/>
        </w:rPr>
      </w:pPr>
      <w:r>
        <w:rPr>
          <w:color w:val="000000"/>
          <w:sz w:val="24"/>
          <w:szCs w:val="24"/>
        </w:rPr>
        <w:t>8.17.1 Caso seja feita a opção pela opção da certidão referida no item 8.6.2, esta seguirá, como prazo de validade, a sistemática própria estabelecida em âmbito federal constante do SICAF.</w:t>
      </w:r>
    </w:p>
    <w:p w14:paraId="501E18C7">
      <w:pPr>
        <w:pStyle w:val="101"/>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9. DA IMPUGNAÇÃO AO EDITAL, DO PEDIDO DE ESCLARECIMENTO E DOS RECURSOS</w:t>
      </w:r>
    </w:p>
    <w:p w14:paraId="2DA96688">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9.1 Qualquer pessoa é parte legítima para impugnar este Edital por irregularidade na aplicação da </w:t>
      </w:r>
      <w:r>
        <w:fldChar w:fldCharType="begin"/>
      </w:r>
      <w:r>
        <w:instrText xml:space="preserve"> HYPERLINK "http://www.planalto.gov.br/ccivil_03/_ato2019-2022/2021/lei/L14133.htm" </w:instrText>
      </w:r>
      <w:r>
        <w:fldChar w:fldCharType="separate"/>
      </w:r>
      <w:r>
        <w:rPr>
          <w:rStyle w:val="16"/>
          <w:rFonts w:ascii="Times New Roman" w:hAnsi="Times New Roman" w:cs="Times New Roman" w:eastAsiaTheme="minorHAnsi"/>
          <w:color w:val="auto"/>
          <w:sz w:val="24"/>
          <w:szCs w:val="24"/>
        </w:rPr>
        <w:t>Lei nº 14.133/2021</w:t>
      </w:r>
      <w:r>
        <w:rPr>
          <w:rStyle w:val="16"/>
          <w:rFonts w:ascii="Times New Roman" w:hAnsi="Times New Roman" w:cs="Times New Roman" w:eastAsiaTheme="minorHAnsi"/>
          <w:color w:val="auto"/>
          <w:sz w:val="24"/>
          <w:szCs w:val="24"/>
        </w:rPr>
        <w:fldChar w:fldCharType="end"/>
      </w:r>
      <w:r>
        <w:rPr>
          <w:rFonts w:ascii="Times New Roman" w:hAnsi="Times New Roman" w:cs="Times New Roman"/>
          <w:sz w:val="24"/>
          <w:szCs w:val="24"/>
        </w:rPr>
        <w:t>, devendo protocolar o pedido até 3 (três) dias úteis antes da data da abertura do certame.</w:t>
      </w:r>
    </w:p>
    <w:p w14:paraId="56CF39E2">
      <w:pPr>
        <w:pStyle w:val="99"/>
        <w:spacing w:before="288" w:beforeLines="120" w:after="288" w:afterLines="120" w:line="288" w:lineRule="auto"/>
        <w:ind w:left="0" w:firstLine="0"/>
        <w:contextualSpacing/>
        <w:rPr>
          <w:rFonts w:ascii="Times New Roman" w:hAnsi="Times New Roman" w:cs="Times New Roman"/>
          <w:sz w:val="24"/>
          <w:szCs w:val="24"/>
        </w:rPr>
      </w:pPr>
    </w:p>
    <w:p w14:paraId="66EC8211">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9.1.1 A impugnação e o pedido de esclarecimento poderão ser realizados por forma eletrônica, através do e-mail funcional </w:t>
      </w:r>
      <w:r>
        <w:rPr>
          <w:rFonts w:ascii="Times New Roman" w:hAnsi="Times New Roman" w:cs="Times New Roman"/>
          <w:b/>
          <w:bCs/>
          <w:i/>
          <w:iCs/>
          <w:sz w:val="24"/>
          <w:szCs w:val="24"/>
          <w:u w:val="single"/>
        </w:rPr>
        <w:t>licitacoespmvrj@gmail.com</w:t>
      </w:r>
      <w:r>
        <w:rPr>
          <w:rFonts w:ascii="Times New Roman" w:hAnsi="Times New Roman" w:cs="Times New Roman"/>
          <w:color w:val="auto"/>
          <w:sz w:val="24"/>
          <w:szCs w:val="24"/>
        </w:rPr>
        <w:t xml:space="preserve">, </w:t>
      </w:r>
      <w:r>
        <w:rPr>
          <w:rFonts w:ascii="Times New Roman" w:hAnsi="Times New Roman" w:cs="Times New Roman"/>
          <w:sz w:val="24"/>
          <w:szCs w:val="24"/>
        </w:rPr>
        <w:t>mediante confirmação de recebimento.</w:t>
      </w:r>
    </w:p>
    <w:p w14:paraId="1A46C6C1">
      <w:pPr>
        <w:pStyle w:val="99"/>
        <w:spacing w:before="288" w:beforeLines="120" w:after="288" w:afterLines="120" w:line="288" w:lineRule="auto"/>
        <w:ind w:left="0" w:firstLine="0"/>
        <w:contextualSpacing/>
        <w:rPr>
          <w:rFonts w:ascii="Times New Roman" w:hAnsi="Times New Roman" w:cs="Times New Roman"/>
          <w:sz w:val="24"/>
          <w:szCs w:val="24"/>
        </w:rPr>
      </w:pPr>
    </w:p>
    <w:p w14:paraId="2843A844">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9.1.2 A resposta à impugnação ou ao pedido de esclarecimento será divulgado em sítio eletrônico oficial no prazo de até 3 (três) dias úteis, limitado ao último dia útil anterior à data da abertura do certame.</w:t>
      </w:r>
    </w:p>
    <w:p w14:paraId="469AFD7D">
      <w:pPr>
        <w:pStyle w:val="99"/>
        <w:spacing w:before="288" w:beforeLines="120" w:after="288" w:afterLines="120" w:line="288" w:lineRule="auto"/>
        <w:ind w:left="0" w:firstLine="0"/>
        <w:contextualSpacing/>
        <w:rPr>
          <w:rFonts w:ascii="Times New Roman" w:hAnsi="Times New Roman" w:cs="Times New Roman"/>
          <w:sz w:val="24"/>
          <w:szCs w:val="24"/>
        </w:rPr>
      </w:pPr>
    </w:p>
    <w:p w14:paraId="42FB7482">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9.1.3 As impugnações e pedidos de esclarecimentos não suspendem os prazos previstos no certame.</w:t>
      </w:r>
    </w:p>
    <w:p w14:paraId="43B17FBC">
      <w:pPr>
        <w:pStyle w:val="10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9.1.4 A concessão de efeito suspensivo à impugnação é medida excepcional e deverá ser motivada pela autoridade competente, nos autos do processo de licitação.</w:t>
      </w:r>
    </w:p>
    <w:p w14:paraId="0B7E2757">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9.1.5 Modificado substancialmente o edital como resultado da resposta à impugnação ou ao pedido de esclarecimento, será definida e publicada nova data para a realização do certame.</w:t>
      </w:r>
    </w:p>
    <w:p w14:paraId="01B7F87F">
      <w:pPr>
        <w:pStyle w:val="99"/>
        <w:spacing w:before="57" w:beforeLines="24" w:after="57" w:afterLines="24" w:line="288" w:lineRule="auto"/>
        <w:ind w:left="0" w:firstLine="0"/>
        <w:contextualSpacing/>
        <w:rPr>
          <w:rFonts w:ascii="Times New Roman" w:hAnsi="Times New Roman" w:cs="Times New Roman"/>
          <w:sz w:val="24"/>
          <w:szCs w:val="24"/>
        </w:rPr>
      </w:pPr>
    </w:p>
    <w:p w14:paraId="09C4C2FB">
      <w:pPr>
        <w:pStyle w:val="99"/>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9.2 Qualquer licitante poderá, durante o prazo de 15 minutos após o término do julgamento das propostas e do ato de habilitação ou inabilitação, em campo próprio do sistema, manifestar sua intenção de recorrer, sob pena de preclusão, ficando a autoridade superior autorizada a adjudicar o objeto ao licitante declarado vencedor. </w:t>
      </w:r>
    </w:p>
    <w:p w14:paraId="5C78DC6B">
      <w:pPr>
        <w:pStyle w:val="103"/>
        <w:spacing w:before="57" w:beforeLines="24" w:after="57" w:afterLines="24" w:line="288" w:lineRule="auto"/>
        <w:ind w:left="0" w:firstLine="0"/>
        <w:contextualSpacing/>
        <w:rPr>
          <w:rFonts w:ascii="Times New Roman" w:hAnsi="Times New Roman" w:cs="Times New Roman"/>
          <w:sz w:val="24"/>
          <w:szCs w:val="24"/>
        </w:rPr>
      </w:pPr>
    </w:p>
    <w:p w14:paraId="23ACDF69">
      <w:pPr>
        <w:pStyle w:val="103"/>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9.2.1 As razões do recurso deverão ser apresentadas em momento único, no prazo de três dias úteis, em campo próprio do sistema eletrônico de contratações ou, em sua indisponibilidade, para o e-mail funcional </w:t>
      </w:r>
      <w:r>
        <w:rPr>
          <w:rFonts w:ascii="Times New Roman" w:hAnsi="Times New Roman" w:cs="Times New Roman"/>
          <w:b/>
          <w:i/>
          <w:sz w:val="24"/>
          <w:szCs w:val="24"/>
          <w:u w:val="single"/>
        </w:rPr>
        <w:t>licitacoespmvrj@gmail.com</w:t>
      </w:r>
      <w:r>
        <w:rPr>
          <w:rFonts w:ascii="Times New Roman" w:hAnsi="Times New Roman" w:cs="Times New Roman"/>
          <w:color w:val="000000" w:themeColor="text1"/>
          <w:sz w:val="24"/>
          <w:szCs w:val="24"/>
          <w14:textFill>
            <w14:solidFill>
              <w14:schemeClr w14:val="tx1"/>
            </w14:solidFill>
          </w14:textFill>
        </w:rPr>
        <w:t>,</w:t>
      </w:r>
      <w:r>
        <w:rPr>
          <w:rFonts w:ascii="Times New Roman" w:hAnsi="Times New Roman" w:cs="Times New Roman"/>
          <w:sz w:val="24"/>
          <w:szCs w:val="24"/>
        </w:rPr>
        <w:t xml:space="preserve"> mediante confirmação de recebimento, contados:</w:t>
      </w:r>
    </w:p>
    <w:p w14:paraId="3A0394F0">
      <w:pPr>
        <w:pStyle w:val="103"/>
        <w:spacing w:before="57" w:beforeLines="24" w:after="57" w:afterLines="24" w:line="288" w:lineRule="auto"/>
        <w:ind w:left="0" w:firstLine="0"/>
        <w:contextualSpacing/>
        <w:rPr>
          <w:rFonts w:ascii="Times New Roman" w:hAnsi="Times New Roman" w:cs="Times New Roman"/>
          <w:sz w:val="24"/>
          <w:szCs w:val="24"/>
        </w:rPr>
      </w:pPr>
    </w:p>
    <w:p w14:paraId="36759434">
      <w:pPr>
        <w:pStyle w:val="103"/>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a) a partir da data de intimação ou de lavratura da ata de habilitação ou inabilitação;</w:t>
      </w:r>
    </w:p>
    <w:p w14:paraId="57C360A3">
      <w:pPr>
        <w:pStyle w:val="103"/>
        <w:spacing w:before="57" w:beforeLines="24" w:after="57" w:afterLines="24" w:line="288" w:lineRule="auto"/>
        <w:ind w:left="0" w:firstLine="0"/>
        <w:contextualSpacing/>
        <w:rPr>
          <w:rFonts w:ascii="Times New Roman" w:hAnsi="Times New Roman" w:cs="Times New Roman"/>
          <w:sz w:val="24"/>
          <w:szCs w:val="24"/>
        </w:rPr>
      </w:pPr>
    </w:p>
    <w:p w14:paraId="7D5F2D92">
      <w:pPr>
        <w:pStyle w:val="103"/>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b) a partir da ata de julgamento, nas licitações com inversão de fases.</w:t>
      </w:r>
    </w:p>
    <w:p w14:paraId="47642A82">
      <w:pPr>
        <w:pStyle w:val="103"/>
        <w:spacing w:before="57" w:beforeLines="24" w:after="57" w:afterLines="24" w:line="288" w:lineRule="auto"/>
        <w:ind w:left="0" w:firstLine="0"/>
        <w:contextualSpacing/>
        <w:rPr>
          <w:rFonts w:ascii="Times New Roman" w:hAnsi="Times New Roman" w:cs="Times New Roman"/>
          <w:sz w:val="24"/>
          <w:szCs w:val="24"/>
        </w:rPr>
      </w:pPr>
    </w:p>
    <w:p w14:paraId="68BF896D">
      <w:pPr>
        <w:pStyle w:val="103"/>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9.2.2 Os demais licitantes ficarão intimados para, se desejarem, apresentar suas contrarrazões, no prazo de três dias úteis, contado da data de intimação pessoal ou de divulgação da interposição do recurso.</w:t>
      </w:r>
    </w:p>
    <w:p w14:paraId="17081063">
      <w:pPr>
        <w:pStyle w:val="103"/>
        <w:spacing w:before="57" w:beforeLines="24" w:after="57" w:afterLines="24" w:line="288" w:lineRule="auto"/>
        <w:ind w:left="0" w:firstLine="0"/>
        <w:contextualSpacing/>
        <w:rPr>
          <w:rFonts w:ascii="Times New Roman" w:hAnsi="Times New Roman" w:cs="Times New Roman"/>
          <w:sz w:val="24"/>
          <w:szCs w:val="24"/>
        </w:rPr>
      </w:pPr>
    </w:p>
    <w:p w14:paraId="2B696E1F">
      <w:pPr>
        <w:pStyle w:val="103"/>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9.2.3 Os recursos interpostos fora do prazo não serão conhecidos.</w:t>
      </w:r>
    </w:p>
    <w:p w14:paraId="06B27208">
      <w:pPr>
        <w:pStyle w:val="103"/>
        <w:spacing w:before="57" w:beforeLines="24" w:after="57" w:afterLines="24" w:line="288" w:lineRule="auto"/>
        <w:ind w:left="0" w:firstLine="0"/>
        <w:contextualSpacing/>
        <w:rPr>
          <w:rFonts w:ascii="Times New Roman" w:hAnsi="Times New Roman" w:cs="Times New Roman"/>
          <w:sz w:val="24"/>
          <w:szCs w:val="24"/>
        </w:rPr>
      </w:pPr>
    </w:p>
    <w:p w14:paraId="06CD5D6C">
      <w:pPr>
        <w:pStyle w:val="99"/>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9.2.4 Caberá ao Pregoeiro, no prazo de 3 (três) dias úteis, receber, examinar e decidir os recursos e encaminhá-los à autoridade superior quando mantiver sua decisão, a qual deverá proferir sua decisão no prazo de 10 (dez) dias úteis, contado do recebimento dos autos.</w:t>
      </w:r>
    </w:p>
    <w:p w14:paraId="0F85BAC6">
      <w:pPr>
        <w:pStyle w:val="99"/>
        <w:spacing w:before="57" w:beforeLines="24" w:after="57" w:afterLines="24" w:line="288" w:lineRule="auto"/>
        <w:ind w:left="0" w:firstLine="0"/>
        <w:contextualSpacing/>
        <w:rPr>
          <w:rFonts w:ascii="Times New Roman" w:hAnsi="Times New Roman" w:cs="Times New Roman"/>
          <w:sz w:val="24"/>
          <w:szCs w:val="24"/>
        </w:rPr>
      </w:pPr>
    </w:p>
    <w:p w14:paraId="185AFCCC">
      <w:pPr>
        <w:pStyle w:val="99"/>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9.2.5 Será assegurado ao licitante vista dos elementos indispensáveis à defesa de seus interesses.</w:t>
      </w:r>
    </w:p>
    <w:p w14:paraId="75A0E0CB">
      <w:pPr>
        <w:pStyle w:val="99"/>
        <w:spacing w:before="57" w:beforeLines="24" w:after="57" w:afterLines="24" w:line="288" w:lineRule="auto"/>
        <w:ind w:left="0" w:firstLine="0"/>
        <w:contextualSpacing/>
        <w:rPr>
          <w:rFonts w:ascii="Times New Roman" w:hAnsi="Times New Roman" w:cs="Times New Roman"/>
          <w:sz w:val="24"/>
          <w:szCs w:val="24"/>
        </w:rPr>
      </w:pPr>
    </w:p>
    <w:p w14:paraId="37DCBEE9">
      <w:pPr>
        <w:pStyle w:val="99"/>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9.2.6 O recurso e o pedido de reconsideração terão efeito suspensivo do ato ou da decisão recorrida até que sobrevenha decisão final da autoridade competente.</w:t>
      </w:r>
    </w:p>
    <w:p w14:paraId="2A94D187">
      <w:pPr>
        <w:pStyle w:val="99"/>
        <w:spacing w:before="57" w:beforeLines="24" w:after="57" w:afterLines="24" w:line="288" w:lineRule="auto"/>
        <w:ind w:left="0" w:firstLine="0"/>
        <w:contextualSpacing/>
        <w:rPr>
          <w:rFonts w:ascii="Times New Roman" w:hAnsi="Times New Roman" w:cs="Times New Roman"/>
          <w:sz w:val="24"/>
          <w:szCs w:val="24"/>
        </w:rPr>
      </w:pPr>
    </w:p>
    <w:p w14:paraId="2A36FC90">
      <w:pPr>
        <w:pStyle w:val="99"/>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9.2.7 O acolhimento do recurso invalida tão somente os atos insuscetíveis de aproveitamento. </w:t>
      </w:r>
    </w:p>
    <w:p w14:paraId="1A83F5F5">
      <w:pPr>
        <w:pStyle w:val="97"/>
        <w:spacing w:before="0" w:beforeAutospacing="0" w:after="0" w:afterAutospacing="0" w:line="288" w:lineRule="auto"/>
        <w:contextualSpacing/>
        <w:jc w:val="both"/>
        <w:rPr>
          <w:rFonts w:eastAsia="Calibri"/>
          <w:b/>
          <w:bCs/>
          <w:lang w:eastAsia="en-US"/>
        </w:rPr>
      </w:pPr>
    </w:p>
    <w:p w14:paraId="537F8315">
      <w:pPr>
        <w:spacing w:line="288" w:lineRule="auto"/>
        <w:contextualSpacing/>
        <w:jc w:val="both"/>
        <w:rPr>
          <w:b/>
          <w:bCs/>
          <w:sz w:val="24"/>
          <w:szCs w:val="24"/>
        </w:rPr>
      </w:pPr>
      <w:r>
        <w:rPr>
          <w:b/>
          <w:bCs/>
          <w:sz w:val="24"/>
          <w:szCs w:val="24"/>
        </w:rPr>
        <w:t>10. DO ENCERRAMENTO DA LICITAÇÃO</w:t>
      </w:r>
    </w:p>
    <w:p w14:paraId="5DD4969E">
      <w:pPr>
        <w:spacing w:line="288" w:lineRule="auto"/>
        <w:contextualSpacing/>
        <w:jc w:val="both"/>
        <w:rPr>
          <w:sz w:val="24"/>
          <w:szCs w:val="24"/>
        </w:rPr>
      </w:pPr>
    </w:p>
    <w:p w14:paraId="3FA30B02">
      <w:pPr>
        <w:spacing w:line="288" w:lineRule="auto"/>
        <w:contextualSpacing/>
        <w:jc w:val="both"/>
        <w:rPr>
          <w:sz w:val="24"/>
          <w:szCs w:val="24"/>
        </w:rPr>
      </w:pPr>
      <w:r>
        <w:rPr>
          <w:sz w:val="24"/>
          <w:szCs w:val="24"/>
        </w:rPr>
        <w:t>10.1 Encerradas as fases de julgamento e habilitação, e exauridos os recursos administrativos, o processo licitatório será encaminhado à autoridade superior, que poderá proceder na forma dos incisos I a III do art. 71 da Lei nº 14.133/2021, ou adjudicar o objeto e homologar a licitação, quando verificada a regularidade do procedimento.</w:t>
      </w:r>
    </w:p>
    <w:p w14:paraId="6CEA1CDF">
      <w:pPr>
        <w:pStyle w:val="97"/>
        <w:spacing w:before="0" w:beforeAutospacing="0" w:after="0" w:afterAutospacing="0" w:line="288" w:lineRule="auto"/>
        <w:contextualSpacing/>
        <w:jc w:val="both"/>
        <w:rPr>
          <w:rFonts w:eastAsia="Calibri"/>
          <w:b/>
          <w:bCs/>
          <w:lang w:eastAsia="en-US"/>
        </w:rPr>
      </w:pPr>
    </w:p>
    <w:p w14:paraId="6C628C59">
      <w:pPr>
        <w:pStyle w:val="97"/>
        <w:spacing w:before="0" w:beforeAutospacing="0" w:after="0" w:afterAutospacing="0" w:line="288" w:lineRule="auto"/>
        <w:contextualSpacing/>
        <w:jc w:val="both"/>
        <w:rPr>
          <w:rFonts w:eastAsia="Calibri"/>
          <w:b/>
          <w:bCs/>
          <w:lang w:eastAsia="en-US"/>
        </w:rPr>
      </w:pPr>
      <w:r>
        <w:rPr>
          <w:rFonts w:eastAsia="Calibri"/>
          <w:b/>
          <w:bCs/>
          <w:lang w:eastAsia="en-US"/>
        </w:rPr>
        <w:t>11. DA ATA DE REGISTRO DE PREÇOS</w:t>
      </w:r>
    </w:p>
    <w:p w14:paraId="1BAF1D8F">
      <w:pPr>
        <w:pStyle w:val="97"/>
        <w:spacing w:before="0" w:beforeAutospacing="0" w:after="0" w:afterAutospacing="0" w:line="288" w:lineRule="auto"/>
        <w:contextualSpacing/>
        <w:jc w:val="both"/>
        <w:rPr>
          <w:rFonts w:eastAsia="Calibri"/>
          <w:lang w:eastAsia="en-US"/>
        </w:rPr>
      </w:pPr>
    </w:p>
    <w:p w14:paraId="280DA7BB">
      <w:pPr>
        <w:pStyle w:val="97"/>
        <w:spacing w:before="0" w:beforeAutospacing="0" w:after="0" w:afterAutospacing="0" w:line="288" w:lineRule="auto"/>
        <w:contextualSpacing/>
        <w:jc w:val="both"/>
      </w:pPr>
      <w:r>
        <w:rPr>
          <w:rFonts w:eastAsia="Calibri"/>
          <w:lang w:eastAsia="en-US"/>
        </w:rPr>
        <w:t xml:space="preserve">11.1 </w:t>
      </w:r>
      <w:r>
        <w:t>Homologado o resultado do processo licitatório, o(s) licitante(s) melhor classificado(s), deverá(ão) ser convocado(s) para assinar a Ata de Registro de Preços, no prazo de 5 (cinco) dias úteis, sob pena de decair o direito, sem prejuízo das sanções previstas na Lei nº 14.133/2021 e neste Edital.</w:t>
      </w:r>
    </w:p>
    <w:p w14:paraId="2EE86DED">
      <w:pPr>
        <w:pStyle w:val="97"/>
        <w:spacing w:before="0" w:beforeAutospacing="0" w:after="0" w:afterAutospacing="0" w:line="288" w:lineRule="auto"/>
        <w:contextualSpacing/>
        <w:jc w:val="both"/>
      </w:pPr>
    </w:p>
    <w:p w14:paraId="25CDF165">
      <w:pPr>
        <w:pStyle w:val="97"/>
        <w:spacing w:before="0" w:beforeAutospacing="0" w:after="0" w:afterAutospacing="0" w:line="288" w:lineRule="auto"/>
        <w:contextualSpacing/>
        <w:jc w:val="both"/>
      </w:pPr>
      <w:r>
        <w:t>11.1.1 O prazo para assinatura da Ata poderá ser prorrogado uma vez, por igual período, desde que:</w:t>
      </w:r>
    </w:p>
    <w:p w14:paraId="68B2706D">
      <w:pPr>
        <w:pStyle w:val="97"/>
        <w:spacing w:before="0" w:beforeAutospacing="0" w:after="0" w:afterAutospacing="0" w:line="288" w:lineRule="auto"/>
        <w:contextualSpacing/>
        <w:jc w:val="both"/>
      </w:pPr>
    </w:p>
    <w:p w14:paraId="20900368">
      <w:pPr>
        <w:pStyle w:val="97"/>
        <w:spacing w:before="0" w:beforeAutospacing="0" w:after="0" w:afterAutospacing="0" w:line="288" w:lineRule="auto"/>
        <w:contextualSpacing/>
        <w:jc w:val="both"/>
      </w:pPr>
      <w:r>
        <w:t>a) a solicitação seja justificada pelo licitante melhor classificado e apresentada dentro do prazo; e</w:t>
      </w:r>
    </w:p>
    <w:p w14:paraId="4FDF5F48">
      <w:pPr>
        <w:pStyle w:val="97"/>
        <w:spacing w:before="0" w:beforeAutospacing="0" w:after="0" w:afterAutospacing="0" w:line="288" w:lineRule="auto"/>
        <w:contextualSpacing/>
        <w:jc w:val="both"/>
      </w:pPr>
    </w:p>
    <w:p w14:paraId="47573754">
      <w:pPr>
        <w:pStyle w:val="97"/>
        <w:spacing w:before="0" w:beforeAutospacing="0" w:after="0" w:afterAutospacing="0" w:line="288" w:lineRule="auto"/>
        <w:contextualSpacing/>
        <w:jc w:val="both"/>
      </w:pPr>
      <w:r>
        <w:t>b) a justificativa apresentada seja aceita pela Administração.</w:t>
      </w:r>
    </w:p>
    <w:p w14:paraId="77F27A1D">
      <w:pPr>
        <w:pStyle w:val="97"/>
        <w:spacing w:before="0" w:beforeAutospacing="0" w:after="0" w:afterAutospacing="0" w:line="288" w:lineRule="auto"/>
        <w:contextualSpacing/>
        <w:jc w:val="both"/>
      </w:pPr>
    </w:p>
    <w:p w14:paraId="2C439A41">
      <w:pPr>
        <w:pStyle w:val="97"/>
        <w:spacing w:before="0" w:beforeAutospacing="0" w:after="0" w:afterAutospacing="0" w:line="288" w:lineRule="auto"/>
        <w:contextualSpacing/>
        <w:jc w:val="both"/>
      </w:pPr>
      <w:r>
        <w:t xml:space="preserve">11.2 Serão formalizadas tantas Atas de Registro de Preços quantas forem necessárias para o registro de todos os itens constantes no Termo de Referência, com a descrição do licitante vencedor, a descrição </w:t>
      </w:r>
      <w:r>
        <w:rPr>
          <w:color w:val="000000" w:themeColor="text1"/>
          <w14:textFill>
            <w14:solidFill>
              <w14:schemeClr w14:val="tx1"/>
            </w14:solidFill>
          </w14:textFill>
        </w:rPr>
        <w:t xml:space="preserve">dos itens, as </w:t>
      </w:r>
      <w:r>
        <w:t>respectivas quantidades, preços registrados e os demais requisitos estabelecidos no art. 19 do Decreto nº 46/2025.</w:t>
      </w:r>
    </w:p>
    <w:p w14:paraId="388182DC">
      <w:pPr>
        <w:pStyle w:val="97"/>
        <w:spacing w:before="0" w:beforeAutospacing="0" w:after="0" w:afterAutospacing="0" w:line="288" w:lineRule="auto"/>
        <w:contextualSpacing/>
        <w:jc w:val="both"/>
      </w:pPr>
    </w:p>
    <w:p w14:paraId="5B860431">
      <w:pPr>
        <w:pStyle w:val="97"/>
        <w:spacing w:before="0" w:beforeAutospacing="0" w:after="0" w:afterAutospacing="0" w:line="288" w:lineRule="auto"/>
        <w:contextualSpacing/>
        <w:jc w:val="both"/>
      </w:pPr>
      <w:r>
        <w:t>11.2.1 Quando a quantidade ofertada pelo primeiro colocado não for suficiente para suprir a demanda estimada, ao preço do primeiro colocado poderão ser registrados tantos fornecedores quantos necessários para que, em função das propostas apresentadas, seja atingida a quantidade total estimada para o item ou grupo de itens.</w:t>
      </w:r>
    </w:p>
    <w:p w14:paraId="3F5BB693">
      <w:pPr>
        <w:pStyle w:val="97"/>
        <w:spacing w:before="0" w:beforeAutospacing="0" w:after="0" w:afterAutospacing="0" w:line="288" w:lineRule="auto"/>
        <w:contextualSpacing/>
        <w:jc w:val="both"/>
      </w:pPr>
    </w:p>
    <w:p w14:paraId="3C77F906">
      <w:pPr>
        <w:pStyle w:val="97"/>
        <w:spacing w:before="0" w:beforeAutospacing="0" w:after="0" w:afterAutospacing="0" w:line="288" w:lineRule="auto"/>
        <w:contextualSpacing/>
        <w:jc w:val="both"/>
      </w:pPr>
      <w:r>
        <w:t>11.3 O registro de preços e as atas dele decorrentes deverão ser divulgados no Portal Nacional de Contratações Públicas - PNCP e no Portal do Município de Valença RJ.</w:t>
      </w:r>
    </w:p>
    <w:p w14:paraId="619929ED">
      <w:pPr>
        <w:pStyle w:val="97"/>
        <w:spacing w:before="0" w:beforeAutospacing="0" w:after="0" w:afterAutospacing="0" w:line="288" w:lineRule="auto"/>
        <w:contextualSpacing/>
        <w:jc w:val="both"/>
      </w:pPr>
    </w:p>
    <w:p w14:paraId="4BEA65A1">
      <w:pPr>
        <w:pStyle w:val="97"/>
        <w:spacing w:before="0" w:beforeAutospacing="0" w:after="0" w:afterAutospacing="0" w:line="288" w:lineRule="auto"/>
        <w:contextualSpacing/>
        <w:jc w:val="both"/>
      </w:pPr>
      <w:r>
        <w:t xml:space="preserve">11.4 A existência de preços registrados implicará compromisso de fornecimento nas condições estabelecidas, mas não obrigará a Administração a contratar, facultada a realização de licitação para a aquisição pretendida, desde que devidamente motivada. </w:t>
      </w:r>
    </w:p>
    <w:p w14:paraId="7A49A6FA">
      <w:pPr>
        <w:pStyle w:val="97"/>
        <w:spacing w:before="0" w:beforeAutospacing="0" w:after="0" w:afterAutospacing="0" w:line="288" w:lineRule="auto"/>
        <w:contextualSpacing/>
        <w:jc w:val="both"/>
      </w:pPr>
    </w:p>
    <w:p w14:paraId="7697CEAF">
      <w:pPr>
        <w:pStyle w:val="97"/>
        <w:spacing w:before="0" w:beforeAutospacing="0" w:after="0" w:afterAutospacing="0" w:line="288" w:lineRule="auto"/>
        <w:contextualSpacing/>
        <w:jc w:val="both"/>
      </w:pPr>
      <w:r>
        <w:t>11.5 É facultado à Administração, quando o(s) fornecedor(es) convocado(s) não assinar(em) a Ata de Registro de Preços no prazo e condições estabelecidas, convocar os proponentes do Cadastro de Reserva, na ordem de classificação, para fazê-lo em igual prazo e nas mesmas condições propostas pelo primeiro classificado, de modo a integrar a Ata na qualidade de fornecedor.</w:t>
      </w:r>
    </w:p>
    <w:p w14:paraId="38E1182B">
      <w:pPr>
        <w:pStyle w:val="97"/>
        <w:spacing w:before="0" w:beforeAutospacing="0" w:after="0" w:afterAutospacing="0" w:line="288" w:lineRule="auto"/>
        <w:contextualSpacing/>
        <w:jc w:val="both"/>
      </w:pPr>
    </w:p>
    <w:p w14:paraId="2E69088E">
      <w:pPr>
        <w:autoSpaceDE w:val="0"/>
        <w:autoSpaceDN w:val="0"/>
        <w:adjustRightInd w:val="0"/>
        <w:spacing w:line="288" w:lineRule="auto"/>
        <w:contextualSpacing/>
        <w:jc w:val="both"/>
        <w:rPr>
          <w:sz w:val="24"/>
          <w:szCs w:val="24"/>
        </w:rPr>
      </w:pPr>
      <w:r>
        <w:rPr>
          <w:sz w:val="24"/>
          <w:szCs w:val="24"/>
        </w:rPr>
        <w:t xml:space="preserve">11.6 O prazo de validade da Ata de Registro de Preços é de 1 (um) ano, contado a partir do 1º (primeiro) dia útil subsequente à data de divulgação no PNCP. </w:t>
      </w:r>
    </w:p>
    <w:p w14:paraId="0E7A0EC0">
      <w:pPr>
        <w:autoSpaceDE w:val="0"/>
        <w:autoSpaceDN w:val="0"/>
        <w:adjustRightInd w:val="0"/>
        <w:spacing w:line="288" w:lineRule="auto"/>
        <w:contextualSpacing/>
        <w:jc w:val="both"/>
        <w:rPr>
          <w:color w:val="231F20"/>
          <w:sz w:val="24"/>
          <w:szCs w:val="24"/>
        </w:rPr>
      </w:pPr>
    </w:p>
    <w:p w14:paraId="7B948316">
      <w:pPr>
        <w:autoSpaceDE w:val="0"/>
        <w:autoSpaceDN w:val="0"/>
        <w:adjustRightInd w:val="0"/>
        <w:spacing w:line="288" w:lineRule="auto"/>
        <w:contextualSpacing/>
        <w:jc w:val="both"/>
        <w:rPr>
          <w:sz w:val="24"/>
          <w:szCs w:val="24"/>
        </w:rPr>
      </w:pPr>
      <w:r>
        <w:rPr>
          <w:color w:val="231F20"/>
          <w:sz w:val="24"/>
          <w:szCs w:val="24"/>
        </w:rPr>
        <w:t xml:space="preserve">11.6.1 </w:t>
      </w:r>
      <w:r>
        <w:rPr>
          <w:sz w:val="24"/>
          <w:szCs w:val="24"/>
        </w:rPr>
        <w:t>O prazo de vigência da Ata de Registro de Preços poderá ser prorrogado, por igual período, mediante termo aditivo, desde que as condições e os preços permaneçam vantajosos, observados os requisitos estabelecidos no art. 20 do Decreto nº 46/2025 e na referida Ata.</w:t>
      </w:r>
    </w:p>
    <w:p w14:paraId="0B75CAB2">
      <w:pPr>
        <w:autoSpaceDE w:val="0"/>
        <w:autoSpaceDN w:val="0"/>
        <w:adjustRightInd w:val="0"/>
        <w:spacing w:line="288" w:lineRule="auto"/>
        <w:contextualSpacing/>
        <w:jc w:val="both"/>
        <w:rPr>
          <w:sz w:val="24"/>
          <w:szCs w:val="24"/>
        </w:rPr>
      </w:pPr>
    </w:p>
    <w:p w14:paraId="40EDD120">
      <w:pPr>
        <w:spacing w:line="288" w:lineRule="auto"/>
        <w:contextualSpacing/>
        <w:jc w:val="both"/>
        <w:rPr>
          <w:color w:val="231F20"/>
          <w:sz w:val="24"/>
          <w:szCs w:val="24"/>
        </w:rPr>
      </w:pPr>
      <w:r>
        <w:rPr>
          <w:sz w:val="24"/>
          <w:szCs w:val="24"/>
        </w:rPr>
        <w:t>11.7</w:t>
      </w:r>
      <w:r>
        <w:rPr>
          <w:bCs/>
          <w:sz w:val="24"/>
          <w:szCs w:val="24"/>
        </w:rPr>
        <w:t xml:space="preserve"> Na forma dos arts. 27 e 28 do Decreto nº 46/2025, o</w:t>
      </w:r>
      <w:r>
        <w:rPr>
          <w:sz w:val="24"/>
          <w:szCs w:val="24"/>
        </w:rPr>
        <w:t xml:space="preserve">s preços registrados poderão ser revistos e alterados em decorrência de eventual redução dos preços praticados no mercado ou de fato que eleve o custo dos bens, obras ou serviços registrados, em caso de força maior, caso fortuito ou fato do príncipe ou em decorrência de fatos imprevisíveis ou previsíveis de consequências incalculáveis, que inviabilizem a execução da Ata tal como pactuado, nos termos da alínea d do inciso II do </w:t>
      </w:r>
      <w:r>
        <w:rPr>
          <w:i/>
          <w:iCs/>
          <w:sz w:val="24"/>
          <w:szCs w:val="24"/>
        </w:rPr>
        <w:t>caput</w:t>
      </w:r>
      <w:r>
        <w:rPr>
          <w:sz w:val="24"/>
          <w:szCs w:val="24"/>
        </w:rPr>
        <w:t xml:space="preserve"> do art. 124 da Lei nº 14.133/2021</w:t>
      </w:r>
      <w:r>
        <w:rPr>
          <w:color w:val="231F20"/>
          <w:sz w:val="24"/>
          <w:szCs w:val="24"/>
        </w:rPr>
        <w:t>.</w:t>
      </w:r>
    </w:p>
    <w:p w14:paraId="7E7C96E2">
      <w:pPr>
        <w:autoSpaceDE w:val="0"/>
        <w:autoSpaceDN w:val="0"/>
        <w:adjustRightInd w:val="0"/>
        <w:spacing w:line="288" w:lineRule="auto"/>
        <w:contextualSpacing/>
        <w:jc w:val="both"/>
        <w:rPr>
          <w:sz w:val="24"/>
          <w:szCs w:val="24"/>
        </w:rPr>
      </w:pPr>
    </w:p>
    <w:p w14:paraId="0CB54947">
      <w:pPr>
        <w:autoSpaceDE w:val="0"/>
        <w:autoSpaceDN w:val="0"/>
        <w:adjustRightInd w:val="0"/>
        <w:spacing w:line="288" w:lineRule="auto"/>
        <w:contextualSpacing/>
        <w:jc w:val="both"/>
        <w:rPr>
          <w:sz w:val="24"/>
          <w:szCs w:val="24"/>
        </w:rPr>
      </w:pPr>
      <w:r>
        <w:rPr>
          <w:sz w:val="24"/>
          <w:szCs w:val="24"/>
        </w:rPr>
        <w:t>11.7.1 Os preços registrados poderão, ainda, ser reajustados ou repactuados, observando-se as regras estabelecidas no item 18 deste Edital, nos termos da Lei nº 14.133/2021.</w:t>
      </w:r>
    </w:p>
    <w:p w14:paraId="21C8CEEF">
      <w:pPr>
        <w:autoSpaceDE w:val="0"/>
        <w:autoSpaceDN w:val="0"/>
        <w:adjustRightInd w:val="0"/>
        <w:spacing w:line="288" w:lineRule="auto"/>
        <w:contextualSpacing/>
        <w:jc w:val="both"/>
        <w:rPr>
          <w:sz w:val="24"/>
          <w:szCs w:val="24"/>
        </w:rPr>
      </w:pPr>
    </w:p>
    <w:p w14:paraId="2FB76BC2">
      <w:pPr>
        <w:pStyle w:val="97"/>
        <w:spacing w:before="0" w:beforeAutospacing="0" w:after="0" w:afterAutospacing="0" w:line="288" w:lineRule="auto"/>
        <w:contextualSpacing/>
        <w:jc w:val="both"/>
      </w:pPr>
      <w:r>
        <w:t>11.7.2 As condições para alteração ou atualização dos preços registrados se encontram previstas na Ata de Registro de Preços.</w:t>
      </w:r>
    </w:p>
    <w:p w14:paraId="2AADCF83">
      <w:pPr>
        <w:pStyle w:val="97"/>
        <w:spacing w:before="0" w:beforeAutospacing="0" w:after="0" w:afterAutospacing="0" w:line="288" w:lineRule="auto"/>
        <w:contextualSpacing/>
        <w:jc w:val="both"/>
      </w:pPr>
    </w:p>
    <w:p w14:paraId="68FEACDA">
      <w:pPr>
        <w:spacing w:line="288" w:lineRule="auto"/>
        <w:contextualSpacing/>
        <w:jc w:val="both"/>
        <w:rPr>
          <w:sz w:val="24"/>
          <w:szCs w:val="24"/>
        </w:rPr>
      </w:pPr>
      <w:r>
        <w:rPr>
          <w:sz w:val="24"/>
          <w:szCs w:val="24"/>
        </w:rPr>
        <w:t xml:space="preserve">11.8 </w:t>
      </w:r>
      <w:r>
        <w:rPr>
          <w:color w:val="231F20"/>
          <w:sz w:val="24"/>
          <w:szCs w:val="24"/>
        </w:rPr>
        <w:t>O registro do fornecedor será cancelado, na forma do art. 31 do Decreto nº 46/2025 da Ata de Registro de Preços, quando:</w:t>
      </w:r>
    </w:p>
    <w:p w14:paraId="0D3A265A">
      <w:pPr>
        <w:autoSpaceDE w:val="0"/>
        <w:autoSpaceDN w:val="0"/>
        <w:adjustRightInd w:val="0"/>
        <w:spacing w:line="288" w:lineRule="auto"/>
        <w:contextualSpacing/>
        <w:jc w:val="both"/>
        <w:rPr>
          <w:b/>
          <w:bCs/>
          <w:color w:val="231F20"/>
          <w:sz w:val="24"/>
          <w:szCs w:val="24"/>
        </w:rPr>
      </w:pPr>
    </w:p>
    <w:p w14:paraId="0ADE078A">
      <w:pPr>
        <w:autoSpaceDE w:val="0"/>
        <w:autoSpaceDN w:val="0"/>
        <w:adjustRightInd w:val="0"/>
        <w:spacing w:line="288" w:lineRule="auto"/>
        <w:contextualSpacing/>
        <w:jc w:val="both"/>
        <w:rPr>
          <w:color w:val="231F20"/>
          <w:sz w:val="24"/>
          <w:szCs w:val="24"/>
        </w:rPr>
      </w:pPr>
      <w:r>
        <w:rPr>
          <w:color w:val="231F20"/>
          <w:sz w:val="24"/>
          <w:szCs w:val="24"/>
        </w:rPr>
        <w:t>a) forem descumpridas as condições da Ata de Registro de Preços, sem motivo justificado;</w:t>
      </w:r>
    </w:p>
    <w:p w14:paraId="02D3FF7F">
      <w:pPr>
        <w:autoSpaceDE w:val="0"/>
        <w:autoSpaceDN w:val="0"/>
        <w:adjustRightInd w:val="0"/>
        <w:spacing w:line="288" w:lineRule="auto"/>
        <w:contextualSpacing/>
        <w:jc w:val="both"/>
        <w:rPr>
          <w:color w:val="231F20"/>
          <w:sz w:val="24"/>
          <w:szCs w:val="24"/>
        </w:rPr>
      </w:pPr>
    </w:p>
    <w:p w14:paraId="19FD4DC2">
      <w:pPr>
        <w:autoSpaceDE w:val="0"/>
        <w:autoSpaceDN w:val="0"/>
        <w:adjustRightInd w:val="0"/>
        <w:spacing w:line="288" w:lineRule="auto"/>
        <w:contextualSpacing/>
        <w:jc w:val="both"/>
        <w:rPr>
          <w:color w:val="231F20"/>
          <w:sz w:val="24"/>
          <w:szCs w:val="24"/>
        </w:rPr>
      </w:pPr>
      <w:r>
        <w:rPr>
          <w:color w:val="231F20"/>
          <w:sz w:val="24"/>
          <w:szCs w:val="24"/>
        </w:rPr>
        <w:t xml:space="preserve">b) </w:t>
      </w:r>
      <w:r>
        <w:rPr>
          <w:sz w:val="24"/>
          <w:szCs w:val="24"/>
        </w:rPr>
        <w:t>não assinar o contrato ou não retirar a nota de empenho ou instrumento equivalente no prazo estabelecido pela Administração, sem justificativa aceitável;</w:t>
      </w:r>
    </w:p>
    <w:p w14:paraId="259CBBCF">
      <w:pPr>
        <w:autoSpaceDE w:val="0"/>
        <w:autoSpaceDN w:val="0"/>
        <w:adjustRightInd w:val="0"/>
        <w:spacing w:line="288" w:lineRule="auto"/>
        <w:contextualSpacing/>
        <w:jc w:val="both"/>
        <w:rPr>
          <w:color w:val="231F20"/>
          <w:sz w:val="24"/>
          <w:szCs w:val="24"/>
        </w:rPr>
      </w:pPr>
    </w:p>
    <w:p w14:paraId="08DDC4C0">
      <w:pPr>
        <w:autoSpaceDE w:val="0"/>
        <w:autoSpaceDN w:val="0"/>
        <w:adjustRightInd w:val="0"/>
        <w:spacing w:line="288" w:lineRule="auto"/>
        <w:contextualSpacing/>
        <w:jc w:val="both"/>
        <w:rPr>
          <w:color w:val="231F20"/>
          <w:sz w:val="24"/>
          <w:szCs w:val="24"/>
        </w:rPr>
      </w:pPr>
      <w:r>
        <w:rPr>
          <w:color w:val="231F20"/>
          <w:sz w:val="24"/>
          <w:szCs w:val="24"/>
        </w:rPr>
        <w:t>c) não aceitar reduzir o seu preço registrado, na hipótese deste se tornar superior àqueles praticados no mercado; ou</w:t>
      </w:r>
    </w:p>
    <w:p w14:paraId="3ED1B757">
      <w:pPr>
        <w:autoSpaceDE w:val="0"/>
        <w:autoSpaceDN w:val="0"/>
        <w:adjustRightInd w:val="0"/>
        <w:spacing w:line="288" w:lineRule="auto"/>
        <w:contextualSpacing/>
        <w:jc w:val="both"/>
        <w:rPr>
          <w:color w:val="231F20"/>
          <w:sz w:val="24"/>
          <w:szCs w:val="24"/>
        </w:rPr>
      </w:pPr>
    </w:p>
    <w:p w14:paraId="0E736A49">
      <w:pPr>
        <w:autoSpaceDE w:val="0"/>
        <w:autoSpaceDN w:val="0"/>
        <w:adjustRightInd w:val="0"/>
        <w:spacing w:line="288" w:lineRule="auto"/>
        <w:contextualSpacing/>
        <w:jc w:val="both"/>
        <w:rPr>
          <w:sz w:val="24"/>
          <w:szCs w:val="24"/>
        </w:rPr>
      </w:pPr>
      <w:r>
        <w:rPr>
          <w:color w:val="231F20"/>
          <w:sz w:val="24"/>
          <w:szCs w:val="24"/>
        </w:rPr>
        <w:t xml:space="preserve">d) </w:t>
      </w:r>
      <w:r>
        <w:rPr>
          <w:sz w:val="24"/>
          <w:szCs w:val="24"/>
        </w:rPr>
        <w:t xml:space="preserve">sofrer sanção prevista nos incisos III ou IV do </w:t>
      </w:r>
      <w:r>
        <w:rPr>
          <w:i/>
          <w:iCs/>
          <w:sz w:val="24"/>
          <w:szCs w:val="24"/>
        </w:rPr>
        <w:t>caput</w:t>
      </w:r>
      <w:r>
        <w:rPr>
          <w:sz w:val="24"/>
          <w:szCs w:val="24"/>
        </w:rPr>
        <w:t xml:space="preserve"> do art. 156 da Lei nº 14.133/2021, observado os §§ 4º e 5º do referido dispositivo. </w:t>
      </w:r>
    </w:p>
    <w:p w14:paraId="7CC138A6">
      <w:pPr>
        <w:autoSpaceDE w:val="0"/>
        <w:autoSpaceDN w:val="0"/>
        <w:adjustRightInd w:val="0"/>
        <w:spacing w:line="288" w:lineRule="auto"/>
        <w:contextualSpacing/>
        <w:jc w:val="both"/>
        <w:rPr>
          <w:sz w:val="24"/>
          <w:szCs w:val="24"/>
        </w:rPr>
      </w:pPr>
    </w:p>
    <w:p w14:paraId="1BA7391C">
      <w:pPr>
        <w:autoSpaceDE w:val="0"/>
        <w:autoSpaceDN w:val="0"/>
        <w:adjustRightInd w:val="0"/>
        <w:spacing w:line="288" w:lineRule="auto"/>
        <w:contextualSpacing/>
        <w:jc w:val="both"/>
        <w:rPr>
          <w:sz w:val="24"/>
          <w:szCs w:val="24"/>
        </w:rPr>
      </w:pPr>
      <w:r>
        <w:rPr>
          <w:color w:val="231F20"/>
          <w:sz w:val="24"/>
          <w:szCs w:val="24"/>
        </w:rPr>
        <w:t>11.9 O cancelamento do registro de preços poderá ocorrer</w:t>
      </w:r>
      <w:r>
        <w:rPr>
          <w:sz w:val="24"/>
          <w:szCs w:val="24"/>
        </w:rPr>
        <w:t xml:space="preserve">, total ou parcialmente, pelo gerenciador, </w:t>
      </w:r>
      <w:r>
        <w:rPr>
          <w:color w:val="231F20"/>
          <w:sz w:val="24"/>
          <w:szCs w:val="24"/>
        </w:rPr>
        <w:t>na forma do art. 32 do Decreto nº 46/2025 e da Ata de Registro de Preços,</w:t>
      </w:r>
      <w:r>
        <w:rPr>
          <w:sz w:val="24"/>
          <w:szCs w:val="24"/>
        </w:rPr>
        <w:t xml:space="preserve"> desde que devidamente comprovados e justificados: </w:t>
      </w:r>
    </w:p>
    <w:p w14:paraId="7946A3F0">
      <w:pPr>
        <w:autoSpaceDE w:val="0"/>
        <w:autoSpaceDN w:val="0"/>
        <w:adjustRightInd w:val="0"/>
        <w:spacing w:line="288" w:lineRule="auto"/>
        <w:contextualSpacing/>
        <w:jc w:val="both"/>
        <w:rPr>
          <w:sz w:val="24"/>
          <w:szCs w:val="24"/>
        </w:rPr>
      </w:pPr>
    </w:p>
    <w:p w14:paraId="260C13F1">
      <w:pPr>
        <w:autoSpaceDE w:val="0"/>
        <w:autoSpaceDN w:val="0"/>
        <w:adjustRightInd w:val="0"/>
        <w:spacing w:line="288" w:lineRule="auto"/>
        <w:contextualSpacing/>
        <w:jc w:val="both"/>
        <w:rPr>
          <w:sz w:val="24"/>
          <w:szCs w:val="24"/>
        </w:rPr>
      </w:pPr>
      <w:r>
        <w:rPr>
          <w:sz w:val="24"/>
          <w:szCs w:val="24"/>
        </w:rPr>
        <w:t xml:space="preserve">a)  por razão de interesse público; </w:t>
      </w:r>
    </w:p>
    <w:p w14:paraId="3865D1CD">
      <w:pPr>
        <w:autoSpaceDE w:val="0"/>
        <w:autoSpaceDN w:val="0"/>
        <w:adjustRightInd w:val="0"/>
        <w:spacing w:line="288" w:lineRule="auto"/>
        <w:contextualSpacing/>
        <w:jc w:val="both"/>
        <w:rPr>
          <w:sz w:val="24"/>
          <w:szCs w:val="24"/>
        </w:rPr>
      </w:pPr>
    </w:p>
    <w:p w14:paraId="352E89BA">
      <w:pPr>
        <w:autoSpaceDE w:val="0"/>
        <w:autoSpaceDN w:val="0"/>
        <w:adjustRightInd w:val="0"/>
        <w:spacing w:line="288" w:lineRule="auto"/>
        <w:contextualSpacing/>
        <w:jc w:val="both"/>
        <w:rPr>
          <w:sz w:val="24"/>
          <w:szCs w:val="24"/>
        </w:rPr>
      </w:pPr>
      <w:r>
        <w:rPr>
          <w:sz w:val="24"/>
          <w:szCs w:val="24"/>
        </w:rPr>
        <w:t xml:space="preserve">b) pelo cancelamento de todos os preços registrados; ou </w:t>
      </w:r>
    </w:p>
    <w:p w14:paraId="55667FC2">
      <w:pPr>
        <w:autoSpaceDE w:val="0"/>
        <w:autoSpaceDN w:val="0"/>
        <w:adjustRightInd w:val="0"/>
        <w:spacing w:line="288" w:lineRule="auto"/>
        <w:contextualSpacing/>
        <w:jc w:val="both"/>
        <w:rPr>
          <w:sz w:val="24"/>
          <w:szCs w:val="24"/>
        </w:rPr>
      </w:pPr>
    </w:p>
    <w:p w14:paraId="5840117D">
      <w:pPr>
        <w:autoSpaceDE w:val="0"/>
        <w:autoSpaceDN w:val="0"/>
        <w:adjustRightInd w:val="0"/>
        <w:spacing w:line="288" w:lineRule="auto"/>
        <w:contextualSpacing/>
        <w:jc w:val="both"/>
        <w:rPr>
          <w:sz w:val="24"/>
          <w:szCs w:val="24"/>
        </w:rPr>
      </w:pPr>
      <w:r>
        <w:rPr>
          <w:sz w:val="24"/>
          <w:szCs w:val="24"/>
        </w:rPr>
        <w:t xml:space="preserve">c) a pedido do </w:t>
      </w:r>
      <w:r>
        <w:rPr>
          <w:color w:val="231F20"/>
          <w:sz w:val="24"/>
          <w:szCs w:val="24"/>
        </w:rPr>
        <w:t>fornecedor</w:t>
      </w:r>
      <w:r>
        <w:rPr>
          <w:sz w:val="24"/>
          <w:szCs w:val="24"/>
        </w:rPr>
        <w:t>, decorrente de fato superveniente, de caso fortuito ou força maior, que prejudique o cumprimento da Ata.</w:t>
      </w:r>
    </w:p>
    <w:p w14:paraId="2CEBC459">
      <w:pPr>
        <w:pStyle w:val="97"/>
        <w:spacing w:before="0" w:beforeAutospacing="0" w:after="0" w:afterAutospacing="0" w:line="288" w:lineRule="auto"/>
        <w:contextualSpacing/>
        <w:jc w:val="both"/>
      </w:pPr>
      <w:r>
        <w:t xml:space="preserve"> </w:t>
      </w:r>
    </w:p>
    <w:p w14:paraId="6BD85F4C">
      <w:pPr>
        <w:spacing w:line="288" w:lineRule="auto"/>
        <w:contextualSpacing/>
        <w:jc w:val="both"/>
        <w:rPr>
          <w:sz w:val="24"/>
          <w:szCs w:val="24"/>
        </w:rPr>
      </w:pPr>
      <w:r>
        <w:rPr>
          <w:sz w:val="24"/>
          <w:szCs w:val="24"/>
        </w:rPr>
        <w:t>11.10 Compete ao gerenciador aplicar, garantida a ampla defesa e o contraditório, as penalidades decorrentes do descumprimento do pactuado neste Edital e na Ata de Registro de Preços ou do descumprimento das obrigações contratuais, em relação às suas próprias contratações, e promover as publicações, encaminhamentos e registros cabíveis.</w:t>
      </w:r>
    </w:p>
    <w:p w14:paraId="66CCE60F">
      <w:pPr>
        <w:spacing w:line="288" w:lineRule="auto"/>
        <w:contextualSpacing/>
        <w:jc w:val="both"/>
        <w:rPr>
          <w:sz w:val="24"/>
          <w:szCs w:val="24"/>
        </w:rPr>
      </w:pPr>
    </w:p>
    <w:p w14:paraId="5DA2CC9A">
      <w:pPr>
        <w:spacing w:line="288" w:lineRule="auto"/>
        <w:contextualSpacing/>
        <w:jc w:val="both"/>
        <w:rPr>
          <w:sz w:val="24"/>
          <w:szCs w:val="24"/>
        </w:rPr>
      </w:pPr>
      <w:r>
        <w:rPr>
          <w:sz w:val="24"/>
          <w:szCs w:val="24"/>
        </w:rPr>
        <w:t xml:space="preserve">11.11 Compete aos participantes e aos </w:t>
      </w:r>
      <w:r>
        <w:rPr>
          <w:bCs/>
          <w:color w:val="231F20"/>
          <w:sz w:val="24"/>
          <w:szCs w:val="24"/>
        </w:rPr>
        <w:t xml:space="preserve">não-participantes </w:t>
      </w:r>
      <w:r>
        <w:rPr>
          <w:sz w:val="24"/>
          <w:szCs w:val="24"/>
        </w:rPr>
        <w:t>aplicar, quando admitidos, garantida a ampla defesa e o contraditório, as penalidades decorrentes do descumprimento das obrigações contratuais, em relação às suas próprias contratações, e promover as publicações, encaminhamentos e registros cabíveis.</w:t>
      </w:r>
    </w:p>
    <w:p w14:paraId="49901326">
      <w:pPr>
        <w:pStyle w:val="97"/>
        <w:spacing w:before="0" w:beforeAutospacing="0" w:after="0" w:afterAutospacing="0" w:line="288" w:lineRule="auto"/>
        <w:contextualSpacing/>
        <w:jc w:val="both"/>
        <w:rPr>
          <w:rFonts w:asciiTheme="minorHAnsi" w:hAnsiTheme="minorHAnsi" w:cstheme="minorHAnsi"/>
        </w:rPr>
      </w:pPr>
    </w:p>
    <w:p w14:paraId="373B8587">
      <w:pPr>
        <w:pStyle w:val="97"/>
        <w:spacing w:before="0" w:beforeAutospacing="0" w:after="0" w:afterAutospacing="0" w:line="288" w:lineRule="auto"/>
        <w:contextualSpacing/>
        <w:jc w:val="both"/>
      </w:pPr>
      <w:r>
        <w:rPr>
          <w:b/>
          <w:bCs/>
        </w:rPr>
        <w:t>12. FORMAÇÃO DO CADASTRO DE RESERVA</w:t>
      </w:r>
    </w:p>
    <w:p w14:paraId="017E5507">
      <w:pPr>
        <w:pStyle w:val="97"/>
        <w:spacing w:before="0" w:beforeAutospacing="0" w:after="0" w:afterAutospacing="0" w:line="288" w:lineRule="auto"/>
        <w:contextualSpacing/>
        <w:jc w:val="both"/>
      </w:pPr>
    </w:p>
    <w:p w14:paraId="66909DDF">
      <w:pPr>
        <w:pStyle w:val="97"/>
        <w:spacing w:before="0" w:beforeAutospacing="0" w:after="0" w:afterAutospacing="0" w:line="288" w:lineRule="auto"/>
        <w:contextualSpacing/>
        <w:jc w:val="both"/>
      </w:pPr>
      <w:r>
        <w:t xml:space="preserve">12.1 Após a fase recursal, os licitantes serão convocados para reduzir seus preços ao valor da proposta do proponente melhor classificado, ocasião na qual será oportunizada a formação de eventual Cadastro de Reserva. </w:t>
      </w:r>
    </w:p>
    <w:p w14:paraId="550553EC">
      <w:pPr>
        <w:pStyle w:val="97"/>
        <w:spacing w:before="0" w:beforeAutospacing="0" w:after="0" w:afterAutospacing="0" w:line="288" w:lineRule="auto"/>
        <w:contextualSpacing/>
        <w:jc w:val="both"/>
      </w:pPr>
    </w:p>
    <w:p w14:paraId="487156DB">
      <w:pPr>
        <w:pStyle w:val="97"/>
        <w:spacing w:before="0" w:beforeAutospacing="0" w:after="0" w:afterAutospacing="0" w:line="288" w:lineRule="auto"/>
        <w:contextualSpacing/>
        <w:jc w:val="both"/>
      </w:pPr>
      <w:r>
        <w:t xml:space="preserve">12.1.1 A apresentação de novas propostas na forma do </w:t>
      </w:r>
      <w:r>
        <w:rPr>
          <w:i/>
          <w:iCs/>
        </w:rPr>
        <w:t>caput</w:t>
      </w:r>
      <w:r>
        <w:t xml:space="preserve"> deste item não prejudicará o resultado do certame, inclusive quanto à ordem de classificação das propostas.</w:t>
      </w:r>
    </w:p>
    <w:p w14:paraId="3F1DEC65">
      <w:pPr>
        <w:pStyle w:val="97"/>
        <w:spacing w:before="0" w:beforeAutospacing="0" w:after="0" w:afterAutospacing="0" w:line="288" w:lineRule="auto"/>
        <w:contextualSpacing/>
        <w:jc w:val="both"/>
      </w:pPr>
    </w:p>
    <w:p w14:paraId="7A02BA8D">
      <w:pPr>
        <w:pStyle w:val="97"/>
        <w:spacing w:before="0" w:beforeAutospacing="0" w:after="0" w:afterAutospacing="0" w:line="288" w:lineRule="auto"/>
        <w:contextualSpacing/>
        <w:jc w:val="both"/>
      </w:pPr>
      <w:r>
        <w:t xml:space="preserve">12.2 Homologada a licitação, deverão ser registrados na Ata de Registro de Preços, para fins de formação de Cadastro de Reserva: </w:t>
      </w:r>
    </w:p>
    <w:p w14:paraId="55BBA796">
      <w:pPr>
        <w:pStyle w:val="97"/>
        <w:spacing w:before="0" w:beforeAutospacing="0" w:after="0" w:afterAutospacing="0" w:line="288" w:lineRule="auto"/>
        <w:contextualSpacing/>
        <w:jc w:val="both"/>
      </w:pPr>
    </w:p>
    <w:p w14:paraId="1B1902C8">
      <w:pPr>
        <w:pStyle w:val="97"/>
        <w:spacing w:before="0" w:beforeAutospacing="0" w:after="0" w:afterAutospacing="0" w:line="288" w:lineRule="auto"/>
        <w:contextualSpacing/>
        <w:jc w:val="both"/>
      </w:pPr>
      <w:r>
        <w:t xml:space="preserve">12.2.1 os licitantes que aceitarem cotar os bens ou serviços com preços iguais aos do proponente vencedor do certame, observada a ordem de classificação; e </w:t>
      </w:r>
    </w:p>
    <w:p w14:paraId="298C6B9A">
      <w:pPr>
        <w:pStyle w:val="97"/>
        <w:spacing w:before="0" w:beforeAutospacing="0" w:after="0" w:afterAutospacing="0" w:line="288" w:lineRule="auto"/>
        <w:contextualSpacing/>
        <w:jc w:val="both"/>
      </w:pPr>
    </w:p>
    <w:p w14:paraId="0B08CE96">
      <w:pPr>
        <w:pStyle w:val="97"/>
        <w:spacing w:before="0" w:beforeAutospacing="0" w:after="0" w:afterAutospacing="0" w:line="288" w:lineRule="auto"/>
        <w:contextualSpacing/>
        <w:jc w:val="both"/>
      </w:pPr>
      <w:r>
        <w:t xml:space="preserve">12.2.2 os proponentes que mantiverem sua proposta original. </w:t>
      </w:r>
    </w:p>
    <w:p w14:paraId="6BEA0996">
      <w:pPr>
        <w:autoSpaceDE w:val="0"/>
        <w:autoSpaceDN w:val="0"/>
        <w:adjustRightInd w:val="0"/>
        <w:spacing w:line="288" w:lineRule="auto"/>
        <w:contextualSpacing/>
        <w:jc w:val="both"/>
        <w:rPr>
          <w:color w:val="231F20"/>
          <w:sz w:val="24"/>
          <w:szCs w:val="24"/>
        </w:rPr>
      </w:pPr>
    </w:p>
    <w:p w14:paraId="0C7EA912">
      <w:pPr>
        <w:autoSpaceDE w:val="0"/>
        <w:autoSpaceDN w:val="0"/>
        <w:adjustRightInd w:val="0"/>
        <w:spacing w:line="288" w:lineRule="auto"/>
        <w:contextualSpacing/>
        <w:jc w:val="both"/>
        <w:rPr>
          <w:color w:val="231F20"/>
          <w:sz w:val="24"/>
          <w:szCs w:val="24"/>
        </w:rPr>
      </w:pPr>
      <w:r>
        <w:rPr>
          <w:color w:val="231F20"/>
          <w:sz w:val="24"/>
          <w:szCs w:val="24"/>
        </w:rPr>
        <w:t>12.3 A ordem de classificação dos registrados na Ata deverá ser respeitada para as contratações, cabendo ao gerenciador realizar os devidos registros na Ata de Registro de Preços, para a sua atualização.</w:t>
      </w:r>
    </w:p>
    <w:p w14:paraId="7228C877">
      <w:pPr>
        <w:autoSpaceDE w:val="0"/>
        <w:autoSpaceDN w:val="0"/>
        <w:adjustRightInd w:val="0"/>
        <w:spacing w:line="288" w:lineRule="auto"/>
        <w:contextualSpacing/>
        <w:jc w:val="both"/>
        <w:rPr>
          <w:color w:val="231F20"/>
          <w:sz w:val="24"/>
          <w:szCs w:val="24"/>
        </w:rPr>
      </w:pPr>
    </w:p>
    <w:p w14:paraId="219F6E86">
      <w:pPr>
        <w:autoSpaceDE w:val="0"/>
        <w:autoSpaceDN w:val="0"/>
        <w:adjustRightInd w:val="0"/>
        <w:spacing w:line="288" w:lineRule="auto"/>
        <w:contextualSpacing/>
        <w:jc w:val="both"/>
        <w:rPr>
          <w:color w:val="231F20"/>
          <w:sz w:val="24"/>
          <w:szCs w:val="24"/>
        </w:rPr>
      </w:pPr>
      <w:r>
        <w:rPr>
          <w:color w:val="231F20"/>
          <w:sz w:val="24"/>
          <w:szCs w:val="24"/>
        </w:rPr>
        <w:t xml:space="preserve">12.4 </w:t>
      </w:r>
      <w:r>
        <w:rPr>
          <w:sz w:val="24"/>
          <w:szCs w:val="24"/>
        </w:rPr>
        <w:t>A habilitação dos proponentes que irão compor o Cadastro de Reserva somente será efetuada quando houver necessidade de contratação dos proponentes remanescentes.</w:t>
      </w:r>
    </w:p>
    <w:p w14:paraId="7C5FD6BB">
      <w:pPr>
        <w:autoSpaceDE w:val="0"/>
        <w:autoSpaceDN w:val="0"/>
        <w:adjustRightInd w:val="0"/>
        <w:spacing w:line="288" w:lineRule="auto"/>
        <w:contextualSpacing/>
        <w:jc w:val="both"/>
        <w:rPr>
          <w:color w:val="231F20"/>
          <w:sz w:val="24"/>
          <w:szCs w:val="24"/>
        </w:rPr>
      </w:pPr>
    </w:p>
    <w:p w14:paraId="03BDABCA">
      <w:pPr>
        <w:autoSpaceDE w:val="0"/>
        <w:autoSpaceDN w:val="0"/>
        <w:adjustRightInd w:val="0"/>
        <w:spacing w:line="288" w:lineRule="auto"/>
        <w:contextualSpacing/>
        <w:jc w:val="both"/>
        <w:rPr>
          <w:sz w:val="24"/>
          <w:szCs w:val="24"/>
        </w:rPr>
      </w:pPr>
      <w:r>
        <w:rPr>
          <w:color w:val="231F20"/>
          <w:sz w:val="24"/>
          <w:szCs w:val="24"/>
        </w:rPr>
        <w:t xml:space="preserve">12.5 O Cadastro de Reserva poderá ser empregado no caso do item 11.5, bem como de </w:t>
      </w:r>
      <w:r>
        <w:rPr>
          <w:sz w:val="24"/>
          <w:szCs w:val="24"/>
        </w:rPr>
        <w:t>cancelamento do registro do proponente ou dos preços, nas hipóteses previstas no § 4º do art. 28 e nos arts. 29 e 31 do Decreto nº 46/2025 e na Ata de Registro de Preços.</w:t>
      </w:r>
    </w:p>
    <w:p w14:paraId="1E740E92">
      <w:pPr>
        <w:pStyle w:val="97"/>
        <w:spacing w:before="0" w:beforeAutospacing="0" w:after="0" w:afterAutospacing="0" w:line="288" w:lineRule="auto"/>
        <w:contextualSpacing/>
        <w:jc w:val="both"/>
        <w:rPr>
          <w:rFonts w:eastAsia="Calibri"/>
          <w:lang w:eastAsia="en-US"/>
        </w:rPr>
      </w:pPr>
    </w:p>
    <w:p w14:paraId="655FB4A1">
      <w:pPr>
        <w:pStyle w:val="97"/>
        <w:spacing w:before="0" w:beforeAutospacing="0" w:after="0" w:afterAutospacing="0" w:line="288" w:lineRule="auto"/>
        <w:contextualSpacing/>
        <w:jc w:val="both"/>
        <w:rPr>
          <w:rFonts w:eastAsia="Calibri"/>
          <w:b/>
          <w:bCs/>
          <w:lang w:eastAsia="en-US"/>
        </w:rPr>
      </w:pPr>
      <w:r>
        <w:rPr>
          <w:rFonts w:eastAsia="Calibri"/>
          <w:b/>
          <w:bCs/>
          <w:lang w:eastAsia="en-US"/>
        </w:rPr>
        <w:t>13. DA FORMALIZAÇÃO DOS CONTRATOS ORIUNDOS DA ATA DE REGISTRO DE PREÇOS</w:t>
      </w:r>
    </w:p>
    <w:p w14:paraId="23A16A2B">
      <w:pPr>
        <w:pStyle w:val="97"/>
        <w:spacing w:before="0" w:beforeAutospacing="0" w:after="0" w:afterAutospacing="0" w:line="288" w:lineRule="auto"/>
        <w:contextualSpacing/>
        <w:jc w:val="both"/>
        <w:rPr>
          <w:rFonts w:eastAsia="Arial"/>
        </w:rPr>
      </w:pPr>
    </w:p>
    <w:p w14:paraId="0272B9C2">
      <w:pPr>
        <w:pStyle w:val="97"/>
        <w:spacing w:before="0" w:beforeAutospacing="0" w:after="0" w:afterAutospacing="0" w:line="288" w:lineRule="auto"/>
        <w:contextualSpacing/>
        <w:jc w:val="both"/>
        <w:rPr>
          <w:rFonts w:eastAsia="Calibri"/>
          <w:lang w:eastAsia="en-US"/>
        </w:rPr>
      </w:pPr>
      <w:r>
        <w:rPr>
          <w:rFonts w:eastAsia="Arial"/>
        </w:rPr>
        <w:t xml:space="preserve">13.1 Compete ao </w:t>
      </w:r>
      <w:r>
        <w:rPr>
          <w:bCs/>
        </w:rPr>
        <w:t xml:space="preserve">gerenciador, aos </w:t>
      </w:r>
      <w:r>
        <w:rPr>
          <w:rFonts w:eastAsia="Arial"/>
          <w:bCs/>
        </w:rPr>
        <w:t xml:space="preserve">participantes, quando houver, e aos eventuais não-participantes </w:t>
      </w:r>
      <w:r>
        <w:rPr>
          <w:rFonts w:eastAsia="Arial"/>
        </w:rPr>
        <w:t>promover as ações necessárias para as suas próprias contratações com o fornecedor registrado, durante o prazo de validade da Ata de Registro de Preços.</w:t>
      </w:r>
    </w:p>
    <w:p w14:paraId="064CFB8E">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13.2 A Administração convocará o fornecedor registrado para assinar o termo de contrato ou para aceitar ou retirar o instrumento equivalente, bem como para demonstrar o atendimento às exigências deste Edital e do Termo de Referência que devam ser apresentadas no momento de assinatura do contrato, </w:t>
      </w:r>
      <w:r>
        <w:rPr>
          <w:rFonts w:ascii="Times New Roman" w:hAnsi="Times New Roman" w:cs="Times New Roman"/>
          <w:color w:val="auto"/>
          <w:sz w:val="24"/>
          <w:szCs w:val="24"/>
        </w:rPr>
        <w:t>no prazo de 5 (cinco) dias úteis</w:t>
      </w:r>
      <w:r>
        <w:rPr>
          <w:rFonts w:ascii="Times New Roman" w:hAnsi="Times New Roman" w:cs="Times New Roman"/>
          <w:sz w:val="24"/>
          <w:szCs w:val="24"/>
        </w:rPr>
        <w:t>, sob pena de decair o direito à contratação, sem prejuízo das sanções previstas na Lei nº 14.133/2021, no Decreto nº 46/2025 e no Edital.</w:t>
      </w:r>
    </w:p>
    <w:p w14:paraId="525B3348">
      <w:pPr>
        <w:pStyle w:val="99"/>
        <w:spacing w:before="288" w:beforeLines="120" w:after="288" w:afterLines="120" w:line="288" w:lineRule="auto"/>
        <w:ind w:left="0" w:firstLine="0"/>
        <w:contextualSpacing/>
        <w:rPr>
          <w:rFonts w:ascii="Times New Roman" w:hAnsi="Times New Roman" w:cs="Times New Roman"/>
          <w:sz w:val="24"/>
          <w:szCs w:val="24"/>
        </w:rPr>
      </w:pPr>
    </w:p>
    <w:p w14:paraId="0FCB2093">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13.3 O prazo de convocação poderá ser prorrogado, 1 (uma) vez, por igual período, mediante solicitação da parte interessada durante seu transcurso, devidamente justificada, e desde que o motivo apresentado seja aceito pela Administração.</w:t>
      </w:r>
    </w:p>
    <w:p w14:paraId="7EAD6045">
      <w:pPr>
        <w:autoSpaceDE w:val="0"/>
        <w:autoSpaceDN w:val="0"/>
        <w:adjustRightInd w:val="0"/>
        <w:spacing w:line="288" w:lineRule="auto"/>
        <w:contextualSpacing/>
        <w:jc w:val="both"/>
        <w:rPr>
          <w:color w:val="231F20"/>
          <w:sz w:val="24"/>
          <w:szCs w:val="24"/>
        </w:rPr>
      </w:pPr>
      <w:r>
        <w:rPr>
          <w:sz w:val="24"/>
          <w:szCs w:val="24"/>
        </w:rPr>
        <w:t xml:space="preserve">13.4 Na hipótese de o fornecedor registrado não assinar o contrato, ou não aceitar ou não retirar o instrumento equivalente no prazo e nas condições estabelecidas, a Administração poderá convocar os proponentes do Cadastro de Reserva, na ordem de classificação, para fazê-lo em igual prazo e nas mesmas condições propostas pelo primeiro classificado. </w:t>
      </w:r>
    </w:p>
    <w:p w14:paraId="5C533219">
      <w:pPr>
        <w:pStyle w:val="99"/>
        <w:spacing w:before="288" w:beforeLines="120" w:after="288" w:afterLines="120" w:line="288" w:lineRule="auto"/>
        <w:ind w:left="0" w:firstLine="0"/>
        <w:contextualSpacing/>
        <w:rPr>
          <w:rFonts w:ascii="Times New Roman" w:hAnsi="Times New Roman" w:cs="Times New Roman"/>
          <w:sz w:val="24"/>
          <w:szCs w:val="24"/>
        </w:rPr>
      </w:pPr>
      <w:bookmarkStart w:id="32" w:name="_Hlk158798489"/>
      <w:r>
        <w:rPr>
          <w:rFonts w:ascii="Times New Roman" w:hAnsi="Times New Roman" w:cs="Times New Roman"/>
          <w:sz w:val="24"/>
          <w:szCs w:val="24"/>
        </w:rPr>
        <w:t>13.5 A recusa injustificada do fornecedor registrado em assinar o contrato ou em aceitar ou retirar o instrumento equivalente no prazo estabelecido pela Administração caracterizará o descumprimento total da obrigação assumida e o sujeitará às penalidades estabelecidas na lei e neste Edital e à imediata perda da garantia de proposta apresentada, quando existente, em favor do órgão ou entidade licitante.</w:t>
      </w:r>
    </w:p>
    <w:p w14:paraId="7EB5CCCF">
      <w:pPr>
        <w:pStyle w:val="99"/>
        <w:spacing w:before="288" w:beforeLines="120" w:after="288" w:afterLines="120" w:line="288" w:lineRule="auto"/>
        <w:ind w:left="0" w:firstLine="0"/>
        <w:contextualSpacing/>
        <w:rPr>
          <w:rFonts w:ascii="Times New Roman" w:hAnsi="Times New Roman" w:cs="Times New Roman"/>
          <w:sz w:val="24"/>
          <w:szCs w:val="24"/>
        </w:rPr>
      </w:pPr>
    </w:p>
    <w:p w14:paraId="1F7F1856">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13.6 As consequências de que trata o item anterior não serão aplicadas ao integrante do Cadastro de Reserva que, quando convocado, se recusar a compor a Ata de Registro de Preços. </w:t>
      </w:r>
    </w:p>
    <w:p w14:paraId="69D56DE3">
      <w:pPr>
        <w:pStyle w:val="99"/>
        <w:spacing w:before="288" w:beforeLines="120" w:after="288" w:afterLines="120" w:line="288" w:lineRule="auto"/>
        <w:ind w:left="0" w:firstLine="0"/>
        <w:contextualSpacing/>
        <w:rPr>
          <w:rFonts w:ascii="Times New Roman" w:hAnsi="Times New Roman" w:cs="Times New Roman"/>
          <w:sz w:val="24"/>
          <w:szCs w:val="24"/>
        </w:rPr>
      </w:pPr>
    </w:p>
    <w:p w14:paraId="3BE584B7">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13.7</w:t>
      </w:r>
      <w:r>
        <w:rPr>
          <w:rFonts w:ascii="Times New Roman" w:hAnsi="Times New Roman" w:cs="Times New Roman"/>
          <w:sz w:val="24"/>
          <w:szCs w:val="24"/>
        </w:rPr>
        <w:tab/>
      </w:r>
      <w:r>
        <w:rPr>
          <w:rFonts w:ascii="Times New Roman" w:hAnsi="Times New Roman" w:cs="Times New Roman"/>
          <w:sz w:val="24"/>
          <w:szCs w:val="24"/>
        </w:rPr>
        <w:t>No momento da assinatura do Contrato, o adjudicatário apresentará certidão de cumprimento de cota de aprendiz, expedida pelo Ministério do Trabalho e Emprego, para fins de atendimento aos arts. 429 e seguintes da Consolidação das Leis do Trabalho.</w:t>
      </w:r>
    </w:p>
    <w:p w14:paraId="6F2145DB">
      <w:pPr>
        <w:pStyle w:val="97"/>
        <w:spacing w:line="288" w:lineRule="auto"/>
        <w:contextualSpacing/>
        <w:jc w:val="both"/>
        <w:rPr>
          <w:rFonts w:eastAsia="Calibri"/>
          <w:lang w:eastAsia="en-US"/>
        </w:rPr>
      </w:pPr>
      <w:r>
        <w:rPr>
          <w:rFonts w:eastAsia="Calibri"/>
          <w:lang w:eastAsia="en-US"/>
        </w:rPr>
        <w:t>13.8</w:t>
      </w:r>
      <w:r>
        <w:rPr>
          <w:rFonts w:eastAsia="Calibri"/>
          <w:lang w:eastAsia="en-US"/>
        </w:rPr>
        <w:tab/>
      </w:r>
      <w:r>
        <w:rPr>
          <w:rFonts w:eastAsia="Calibri"/>
          <w:lang w:eastAsia="en-US"/>
        </w:rPr>
        <w:t>Caso o valor da contratação se enquadre no limite previsto na legislação vigente, o fornecedor registrado deverá demonstrar que mantém Programa de Integridade, consistindo tal programa no conjunto de mecanismos e procedimentos internos de integridade, auditoria e incentivo à denúncia de irregularidades e na aplicação efetiva de códigos de ética e de conduta, políticas e diretrizes com o objetivo de detectar e sanar desvios, fraudes, irregularidades e atos ilícitos praticados contra a Administração Pública.</w:t>
      </w:r>
    </w:p>
    <w:p w14:paraId="6A81D98B">
      <w:pPr>
        <w:pStyle w:val="97"/>
        <w:spacing w:before="0" w:beforeAutospacing="0" w:after="0" w:afterAutospacing="0" w:line="288" w:lineRule="auto"/>
        <w:contextualSpacing/>
        <w:jc w:val="both"/>
        <w:rPr>
          <w:rFonts w:eastAsia="Calibri"/>
          <w:lang w:eastAsia="en-US"/>
        </w:rPr>
      </w:pPr>
    </w:p>
    <w:p w14:paraId="1283946C">
      <w:pPr>
        <w:pStyle w:val="97"/>
        <w:spacing w:before="0" w:beforeAutospacing="0" w:after="0" w:afterAutospacing="0" w:line="288" w:lineRule="auto"/>
        <w:contextualSpacing/>
        <w:jc w:val="both"/>
        <w:rPr>
          <w:rFonts w:eastAsia="Calibri"/>
          <w:lang w:eastAsia="en-US"/>
        </w:rPr>
      </w:pPr>
      <w:r>
        <w:rPr>
          <w:rFonts w:eastAsia="Calibri"/>
          <w:lang w:eastAsia="en-US"/>
        </w:rPr>
        <w:t>13.8.1</w:t>
      </w:r>
      <w:r>
        <w:rPr>
          <w:rFonts w:eastAsia="Calibri"/>
          <w:lang w:eastAsia="en-US"/>
        </w:rPr>
        <w:tab/>
      </w:r>
      <w:r>
        <w:rPr>
          <w:rFonts w:eastAsia="Calibri"/>
          <w:lang w:eastAsia="en-US"/>
        </w:rPr>
        <w:t>Caso o fornecedor registrado ainda não tenha programa de integridade instituído, deverá implantar o Programa de Integridade no prazo de até 180 (cento e oitenta) dias corridos, a partir da assinatura do Contrato, na forma da legislação vigente.</w:t>
      </w:r>
    </w:p>
    <w:bookmarkEnd w:id="32"/>
    <w:p w14:paraId="5CE1AE6D">
      <w:pPr>
        <w:pStyle w:val="97"/>
        <w:spacing w:before="0" w:beforeAutospacing="0" w:after="0" w:afterAutospacing="0" w:line="288" w:lineRule="auto"/>
        <w:contextualSpacing/>
        <w:jc w:val="both"/>
        <w:rPr>
          <w:rFonts w:eastAsia="Calibri" w:asciiTheme="minorHAnsi" w:hAnsiTheme="minorHAnsi" w:cstheme="minorHAnsi"/>
          <w:b/>
          <w:bCs/>
          <w:lang w:eastAsia="en-US"/>
        </w:rPr>
      </w:pPr>
    </w:p>
    <w:p w14:paraId="58ED7878">
      <w:pPr>
        <w:pStyle w:val="97"/>
        <w:spacing w:before="0" w:beforeAutospacing="0" w:after="0" w:afterAutospacing="0" w:line="288" w:lineRule="auto"/>
        <w:contextualSpacing/>
        <w:jc w:val="both"/>
        <w:rPr>
          <w:rFonts w:eastAsia="Calibri"/>
          <w:b/>
          <w:bCs/>
          <w:lang w:eastAsia="en-US"/>
        </w:rPr>
      </w:pPr>
      <w:r>
        <w:rPr>
          <w:rFonts w:eastAsia="Calibri"/>
          <w:b/>
          <w:bCs/>
          <w:lang w:eastAsia="en-US"/>
        </w:rPr>
        <w:t xml:space="preserve">14. DA SUBCONTRATAÇÃO </w:t>
      </w:r>
    </w:p>
    <w:p w14:paraId="29336A83">
      <w:pPr>
        <w:pStyle w:val="99"/>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14.1 Não será admitida a subcontratação do objeto contratual.</w:t>
      </w:r>
    </w:p>
    <w:p w14:paraId="3489F20A">
      <w:pPr>
        <w:pStyle w:val="99"/>
        <w:spacing w:before="288" w:beforeLines="120" w:after="288" w:afterLines="120" w:line="288" w:lineRule="auto"/>
        <w:ind w:left="0" w:firstLine="0"/>
        <w:contextualSpacing/>
        <w:rPr>
          <w:rFonts w:ascii="Times New Roman" w:hAnsi="Times New Roman" w:cs="Times New Roman"/>
          <w:color w:val="auto"/>
          <w:sz w:val="24"/>
          <w:szCs w:val="24"/>
        </w:rPr>
      </w:pPr>
    </w:p>
    <w:p w14:paraId="2B174A4B">
      <w:pPr>
        <w:pStyle w:val="99"/>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eastAsia="Calibri" w:cs="Times New Roman"/>
          <w:b/>
          <w:bCs/>
          <w:sz w:val="24"/>
          <w:szCs w:val="24"/>
          <w:lang w:eastAsia="en-US"/>
        </w:rPr>
        <w:t>15. DA GARANTIA</w:t>
      </w:r>
    </w:p>
    <w:p w14:paraId="3789DEDC">
      <w:pPr>
        <w:pStyle w:val="99"/>
        <w:spacing w:before="288" w:beforeLines="120" w:after="288" w:afterLines="120" w:line="288" w:lineRule="auto"/>
        <w:ind w:left="4537" w:right="565" w:firstLine="0"/>
        <w:contextualSpacing/>
        <w:rPr>
          <w:rFonts w:ascii="Times New Roman" w:hAnsi="Times New Roman" w:cs="Times New Roman"/>
          <w:sz w:val="24"/>
          <w:szCs w:val="24"/>
        </w:rPr>
      </w:pPr>
    </w:p>
    <w:p w14:paraId="3F377FEE">
      <w:pPr>
        <w:pStyle w:val="99"/>
        <w:spacing w:before="288" w:beforeLines="120" w:after="288" w:afterLines="120" w:line="288" w:lineRule="auto"/>
        <w:ind w:left="0"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15.1 Haverá exigência de garantia contratual da execução.</w:t>
      </w:r>
    </w:p>
    <w:p w14:paraId="4F33976A">
      <w:pPr>
        <w:pStyle w:val="103"/>
        <w:spacing w:before="288" w:beforeLines="120" w:after="288" w:afterLines="120" w:line="288" w:lineRule="auto"/>
        <w:ind w:left="567" w:right="565" w:firstLine="0"/>
        <w:contextualSpacing/>
        <w:rPr>
          <w:rFonts w:ascii="Times New Roman" w:hAnsi="Times New Roman" w:cs="Times New Roman"/>
          <w:color w:val="auto"/>
          <w:sz w:val="24"/>
          <w:szCs w:val="24"/>
        </w:rPr>
      </w:pPr>
      <w:bookmarkStart w:id="33" w:name="_Hlk152767454"/>
      <w:r>
        <w:rPr>
          <w:rFonts w:ascii="Times New Roman" w:hAnsi="Times New Roman" w:cs="Times New Roman"/>
          <w:color w:val="auto"/>
          <w:sz w:val="24"/>
          <w:szCs w:val="24"/>
        </w:rPr>
        <w:t>15.1.1 Caso o prazo de vigência do contrato seja inferior a um ano</w:t>
      </w:r>
      <w:bookmarkEnd w:id="33"/>
      <w:r>
        <w:rPr>
          <w:rFonts w:ascii="Times New Roman" w:hAnsi="Times New Roman" w:cs="Times New Roman"/>
          <w:color w:val="auto"/>
          <w:sz w:val="24"/>
          <w:szCs w:val="24"/>
        </w:rPr>
        <w:t xml:space="preserve">, a garantia prevista no item 15.1 será calculada sobre o valor total do Contrato. </w:t>
      </w:r>
    </w:p>
    <w:p w14:paraId="0944A211">
      <w:pPr>
        <w:pStyle w:val="103"/>
        <w:spacing w:before="288" w:beforeLines="120" w:after="288" w:afterLines="120" w:line="288" w:lineRule="auto"/>
        <w:ind w:left="567" w:right="567"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15.1.2 Na forma do art. 101 da Lei nº 14.133/2021, nos casos de contratos que impliquem a entrega de bens pela Administração, dos quais o contratado ficará depositário, o valor desses bens deverá ser acrescido ao valor da garantia.</w:t>
      </w:r>
    </w:p>
    <w:p w14:paraId="290A1083">
      <w:pPr>
        <w:pStyle w:val="103"/>
        <w:spacing w:before="288" w:beforeLines="120" w:after="288" w:afterLines="120" w:line="288" w:lineRule="auto"/>
        <w:ind w:left="567" w:right="567"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15.2 O contratado poderá optar pelas seguintes modalidades de garantia:</w:t>
      </w:r>
    </w:p>
    <w:p w14:paraId="02283D1F">
      <w:pPr>
        <w:pStyle w:val="99"/>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15.2.1 caução em dinheiro ou em títulos da dívida pública;</w:t>
      </w:r>
    </w:p>
    <w:p w14:paraId="5CBD8555">
      <w:pPr>
        <w:pStyle w:val="99"/>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 xml:space="preserve">15.2.2 seguro-garantia; </w:t>
      </w:r>
    </w:p>
    <w:p w14:paraId="6DB0FB20">
      <w:pPr>
        <w:pStyle w:val="99"/>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15.2.3 fiança bancária; e</w:t>
      </w:r>
    </w:p>
    <w:p w14:paraId="399EE506">
      <w:pPr>
        <w:pStyle w:val="99"/>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15.2.4 título de capitalização custeado por pagamento único, com resgate pelo valor total.</w:t>
      </w:r>
    </w:p>
    <w:p w14:paraId="1FC4EE53">
      <w:pPr>
        <w:pStyle w:val="99"/>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15.3 Qualquer que seja a modalidade escolhida pelo contratado, a garantia assegurará o pagamento de:</w:t>
      </w:r>
    </w:p>
    <w:p w14:paraId="60F7A324">
      <w:pPr>
        <w:pStyle w:val="99"/>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15.3.1 prejuízos advindos do não cumprimento do objeto do Contrato e do não adimplemento das demais obrigações neste previstas;</w:t>
      </w:r>
    </w:p>
    <w:p w14:paraId="173A96BD">
      <w:pPr>
        <w:pStyle w:val="99"/>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15.3.2 multas moratórias, compensatórias e administrativas aplicadas pela Administração ao contratado; e</w:t>
      </w:r>
    </w:p>
    <w:p w14:paraId="3DB59166">
      <w:pPr>
        <w:pStyle w:val="99"/>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15.3.3 obrigações trabalhistas e previdenciárias de qualquer natureza, assim como as obrigações de regularidade perante o FGTS, não adimplidas pelo contratado, quando couber.</w:t>
      </w:r>
    </w:p>
    <w:p w14:paraId="7997CD7E">
      <w:pPr>
        <w:pStyle w:val="99"/>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 xml:space="preserve">15.4 A garantia, qualquer que seja a modalidade escolhida, terá validade durante a vigência do Contrato e por mais 90 (noventa) dias após o término deste prazo de vigência.  </w:t>
      </w:r>
    </w:p>
    <w:p w14:paraId="4FB35A00">
      <w:pPr>
        <w:pStyle w:val="99"/>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15.5 Na hipótese de suspensão do Contrato por ordem ou inadimplemento da Administração, o contratado ficará desobrigado de renovar a garantia ou de endossar a apólice de seguro até a ordem de reinício da execução ou o adimplemento pela Administração.</w:t>
      </w:r>
    </w:p>
    <w:p w14:paraId="2E909C53">
      <w:pPr>
        <w:pStyle w:val="99"/>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15.6 Ressalvada a hipótese de seguro-garantia, em que deverá ser observado o prazo do item 15.7, o contratado apresentará, no prazo máximo de 10 (dez) dias úteis, prorrogáveis por igual período, a critério do contratante, contado da assinatura do Contrato, o comprovante de prestação de garantia, na forma do item 15.2.</w:t>
      </w:r>
    </w:p>
    <w:p w14:paraId="7CC9EC52">
      <w:pPr>
        <w:pStyle w:val="99"/>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15.7 Caso oferecida a modalidade de seguro-garantia, sua apresentação deve ocorrer em 1 (um) mês, contado da data de homologação da licitação e anterior à assinatura do Contrato, e observar-se-ão as seguintes condições:</w:t>
      </w:r>
    </w:p>
    <w:p w14:paraId="697C13A0">
      <w:pPr>
        <w:pStyle w:val="99"/>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15.7.1 a apólice permanecerá em vigor mesmo que o contratado não pague o prêmio nas datas convencionadas;</w:t>
      </w:r>
    </w:p>
    <w:p w14:paraId="5809DB7B">
      <w:pPr>
        <w:pStyle w:val="99"/>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15.7.2 a apólice deverá acompanhar as modificações referentes à vigência do Contrato principal, mediante a emissão do respectivo endosso pela seguradora;</w:t>
      </w:r>
    </w:p>
    <w:p w14:paraId="0D35EF47">
      <w:pPr>
        <w:pStyle w:val="99"/>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15.7.3 será permitida a substituição da apólice na data de renovação ou de aniversário, desde que mantidas as condições e coberturas da apólice vigente e nenhum período fique descoberto, ressalvado o disposto no item 15.5 deste Edital; e</w:t>
      </w:r>
    </w:p>
    <w:p w14:paraId="6929385A">
      <w:pPr>
        <w:pStyle w:val="99"/>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15.7.4 a apólice somente será aceita se contemplar todos os eventos indicados no item 15.3, observada a legislação que rege a matéria.</w:t>
      </w:r>
    </w:p>
    <w:p w14:paraId="6D63D26C">
      <w:pPr>
        <w:pStyle w:val="99"/>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15.8 Em caso de oferecimento de títulos da dívida pública, estes devem ser emitidos sob a forma escritural, mediante registro em sistema centralizado de liquidação e de custódia autorizado pelo Banco Central do Brasil, e avaliados pelos seus valores econômicos, conforme definido pelo Ministério da Fazenda.</w:t>
      </w:r>
    </w:p>
    <w:p w14:paraId="298C717F">
      <w:pPr>
        <w:pStyle w:val="99"/>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15.9 Caso a opção seja por fiança bancária, esta deverá ser emitida por banco ou instituição financeira devidamente autorizada a operar no País pelo Banco Central do Brasil, e deverá constar expressa renúncia do fiador aos benefícios do art. 827 do Código Civil.</w:t>
      </w:r>
    </w:p>
    <w:p w14:paraId="0BEADD25">
      <w:pPr>
        <w:pStyle w:val="99"/>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15.10 Caso a opção seja por garantia em dinheiro, deverá ser efetuada em favor do contratante, na conta corrente nº ......., da agência ....... da instituição financeira contratada pelo Município, cujo valor será corrigido monetariamente e restituído ao contratado, na forma do item 15.16.</w:t>
      </w:r>
    </w:p>
    <w:p w14:paraId="4C329D45">
      <w:pPr>
        <w:pStyle w:val="99"/>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 xml:space="preserve">15.11 O contratado obriga-se a fazer a reposição, a suplementação ou a renovação da garantia, no prazo máximo de 10 (dez) dias úteis, contados da data em que for notificado, no caso desta ser executada, total ou parcialmente, ou o Contrato for prorrogado ou tiver o seu valor alterado, assim como em qualquer outra situação que exija a manutenção da condição disposta no item 15.1 neste item. </w:t>
      </w:r>
    </w:p>
    <w:p w14:paraId="4CC84F2F">
      <w:pPr>
        <w:pStyle w:val="99"/>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15.12 A inobservância do prazo fixado para apresentação, reposição, suplementação ou renovação da garantia acarretará a aplicação de multa e/ou outras penalidades, na forma disposta no Contrato.</w:t>
      </w:r>
    </w:p>
    <w:p w14:paraId="3B92A63A">
      <w:pPr>
        <w:pStyle w:val="99"/>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15.12.1 O atraso superior a 25 (vinte e cinco) dias autoriza o contratante a promover a rescisão do contrato por descumprimento ou cumprimento irregular de suas cláusulas, com a aplicação das sanções cabíveis.</w:t>
      </w:r>
    </w:p>
    <w:p w14:paraId="03FFC4FB">
      <w:pPr>
        <w:pStyle w:val="99"/>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15.13 O contratante executará a garantia na forma prevista na legislação que rege a matéria.</w:t>
      </w:r>
    </w:p>
    <w:p w14:paraId="063496B9">
      <w:pPr>
        <w:pStyle w:val="99"/>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15.14 O emitente da garantia ofertada pelo contratado deverá ser notificado pelo contratante quanto ao início de processo administrativo para apuração de descumprimento de cláusulas contratuais.</w:t>
      </w:r>
    </w:p>
    <w:p w14:paraId="2A86D9E7">
      <w:pPr>
        <w:pStyle w:val="99"/>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15.14.1 O garantidor não é parte para figurar em processo administrativo instaurado pelo contratante com o objetivo de apurar prejuízos e/ou aplicar sanções ao contratado.</w:t>
      </w:r>
    </w:p>
    <w:p w14:paraId="12622A38">
      <w:pPr>
        <w:pStyle w:val="99"/>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15.15 Caso se trate da modalidade seguro-garantia, ocorrido o sinistro durante a vigência da apólice, sua caracterização e comunicação poderão ocorrer fora desta vigência, não caracterizando fato que justifique a negativa do sinistro, desde que respeitados os prazos prescricionais aplicados ao contrato de seguro, nos termos do art. 20 da Circular Susep n° 662, de 11 de abril de 2022.</w:t>
      </w:r>
    </w:p>
    <w:p w14:paraId="5AFA5BC4">
      <w:pPr>
        <w:pStyle w:val="99"/>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15.16 Extinguir-se-á a garantia com a restituição da apólice, carta fiança, título da dívida pública ou autorização para a liberação da caução em dinheiro, atualizada monetariamente, acompanhada de declaração do contratante, mediante termo circunstanciado, de que o contratado cumpriu todas as cláusulas do Contrato.</w:t>
      </w:r>
    </w:p>
    <w:p w14:paraId="519F5B99">
      <w:pPr>
        <w:pStyle w:val="99"/>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15.16.1 A garantia somente será liberada ou restituída, após a fiel execução do Contrato ou pela sua extinção, por culpa exclusiva da Administração, ou quando assim convencionado, em se tratando de extinção consensual da contratação.</w:t>
      </w:r>
    </w:p>
    <w:p w14:paraId="6989DDE9">
      <w:pPr>
        <w:pStyle w:val="99"/>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 xml:space="preserve">15.17 O contratado autoriza o contratante a reter, a qualquer tempo, a garantia, na forma prevista no Edital e no Contrato. </w:t>
      </w:r>
    </w:p>
    <w:p w14:paraId="691331F9">
      <w:pPr>
        <w:pStyle w:val="97"/>
        <w:spacing w:before="0" w:beforeAutospacing="0" w:after="0" w:afterAutospacing="0" w:line="288" w:lineRule="auto"/>
        <w:contextualSpacing/>
        <w:jc w:val="both"/>
        <w:rPr>
          <w:rFonts w:eastAsia="Calibri" w:asciiTheme="minorHAnsi" w:hAnsiTheme="minorHAnsi" w:cstheme="minorHAnsi"/>
          <w:b/>
          <w:bCs/>
          <w:lang w:eastAsia="en-US"/>
        </w:rPr>
      </w:pPr>
    </w:p>
    <w:p w14:paraId="207100BD">
      <w:pPr>
        <w:pStyle w:val="97"/>
        <w:spacing w:before="0" w:beforeAutospacing="0" w:after="0" w:afterAutospacing="0" w:line="288" w:lineRule="auto"/>
        <w:contextualSpacing/>
        <w:jc w:val="both"/>
        <w:rPr>
          <w:rFonts w:eastAsia="Calibri"/>
          <w:b/>
          <w:bCs/>
          <w:lang w:eastAsia="en-US"/>
        </w:rPr>
      </w:pPr>
      <w:r>
        <w:rPr>
          <w:rFonts w:eastAsia="Calibri"/>
          <w:b/>
          <w:bCs/>
          <w:lang w:eastAsia="en-US"/>
        </w:rPr>
        <w:t>16. PAGAMENTO</w:t>
      </w:r>
    </w:p>
    <w:p w14:paraId="2A361FFD">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16.1 O contratante deverá pagar o preço ao contratado em 01 (uma) parcelas</w:t>
      </w:r>
      <w:r>
        <w:rPr>
          <w:rFonts w:ascii="Times New Roman" w:hAnsi="Times New Roman" w:cs="Times New Roman"/>
          <w:color w:val="auto"/>
          <w:sz w:val="24"/>
          <w:szCs w:val="24"/>
        </w:rPr>
        <w:t>,</w:t>
      </w:r>
      <w:r>
        <w:rPr>
          <w:rFonts w:ascii="Times New Roman" w:hAnsi="Times New Roman" w:cs="Times New Roman"/>
          <w:color w:val="FF0000"/>
          <w:sz w:val="24"/>
          <w:szCs w:val="24"/>
        </w:rPr>
        <w:t xml:space="preserve"> </w:t>
      </w:r>
      <w:r>
        <w:rPr>
          <w:rFonts w:ascii="Times New Roman" w:hAnsi="Times New Roman" w:cs="Times New Roman"/>
          <w:sz w:val="24"/>
          <w:szCs w:val="24"/>
        </w:rPr>
        <w:t xml:space="preserve">na conta corrente de titularidade do contratado a ser indicada. </w:t>
      </w:r>
    </w:p>
    <w:p w14:paraId="7975F1C4">
      <w:pPr>
        <w:pStyle w:val="99"/>
        <w:spacing w:before="288" w:beforeLines="120" w:after="288" w:afterLines="120" w:line="288" w:lineRule="auto"/>
        <w:ind w:left="0" w:firstLine="0"/>
        <w:contextualSpacing/>
        <w:rPr>
          <w:rFonts w:ascii="Times New Roman" w:hAnsi="Times New Roman" w:cs="Times New Roman"/>
          <w:sz w:val="24"/>
          <w:szCs w:val="24"/>
        </w:rPr>
      </w:pPr>
    </w:p>
    <w:p w14:paraId="3CC8E9A2">
      <w:pPr>
        <w:pStyle w:val="99"/>
        <w:spacing w:before="288" w:beforeLines="120" w:after="288" w:afterLines="120" w:line="288" w:lineRule="auto"/>
        <w:ind w:left="0" w:firstLine="0"/>
        <w:contextualSpacing/>
        <w:rPr>
          <w:rFonts w:ascii="Times New Roman" w:hAnsi="Times New Roman" w:cs="Times New Roman"/>
          <w:color w:val="FF0000"/>
          <w:sz w:val="24"/>
          <w:szCs w:val="24"/>
        </w:rPr>
      </w:pPr>
      <w:r>
        <w:rPr>
          <w:rFonts w:ascii="Times New Roman" w:hAnsi="Times New Roman" w:cs="Times New Roman"/>
          <w:sz w:val="24"/>
          <w:szCs w:val="24"/>
        </w:rPr>
        <w:t xml:space="preserve">16.2 Os pagamentos relativos à aquisição de bens e à contratação de serviços de qualquer natureza realizados pelos órgãos e entidades da Administração Pública Municipal Direta, Autárquica e Fundacional do Poder Executivo serão efetuados exclusivamente, por meio da Instituição financeira contratada pelo município atualmente </w:t>
      </w:r>
      <w:r>
        <w:rPr>
          <w:rFonts w:ascii="Times New Roman" w:hAnsi="Times New Roman" w:cs="Times New Roman"/>
          <w:b/>
          <w:sz w:val="24"/>
          <w:szCs w:val="24"/>
        </w:rPr>
        <w:t>Banco Itaú S.A</w:t>
      </w:r>
      <w:r>
        <w:rPr>
          <w:rFonts w:ascii="Times New Roman" w:hAnsi="Times New Roman" w:cs="Times New Roman"/>
          <w:sz w:val="24"/>
          <w:szCs w:val="24"/>
        </w:rPr>
        <w:t>, cujo número e agência deverão ser informados pelo adjudicatário.</w:t>
      </w:r>
    </w:p>
    <w:p w14:paraId="02B7C864">
      <w:pPr>
        <w:pStyle w:val="99"/>
        <w:spacing w:before="288" w:beforeLines="120" w:after="288" w:afterLines="120" w:line="288" w:lineRule="auto"/>
        <w:ind w:left="0" w:firstLine="0"/>
        <w:contextualSpacing/>
        <w:rPr>
          <w:rFonts w:ascii="Times New Roman" w:hAnsi="Times New Roman" w:cs="Times New Roman"/>
          <w:sz w:val="24"/>
          <w:szCs w:val="24"/>
        </w:rPr>
      </w:pPr>
    </w:p>
    <w:p w14:paraId="5F8F6451">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16.3 A emissão da Nota Fiscal ou Fatura será precedida do recebimento definitivo do objeto ou de cada parcela, mediante atestação, que não poderá ser realizada pelo ordenador de despesas, conforme disposto neste instrumento e/ou no Termo de Referência, bem ainda no art. 140, II, alínea “b”, da Lei nº 14.133/2021 e arts. 20 e 22, XXIII, do Decreto nº 40, de 25 de fevereiro de 2025.</w:t>
      </w:r>
    </w:p>
    <w:p w14:paraId="1B0855EA">
      <w:pPr>
        <w:pStyle w:val="101"/>
        <w:spacing w:line="288" w:lineRule="auto"/>
        <w:ind w:left="0" w:firstLine="0"/>
        <w:contextualSpacing/>
        <w:rPr>
          <w:rFonts w:ascii="Times New Roman" w:hAnsi="Times New Roman" w:cs="Times New Roman"/>
          <w:b w:val="0"/>
          <w:bCs w:val="0"/>
          <w:sz w:val="24"/>
          <w:szCs w:val="24"/>
        </w:rPr>
      </w:pPr>
      <w:r>
        <w:rPr>
          <w:rFonts w:ascii="Times New Roman" w:hAnsi="Times New Roman" w:cs="Times New Roman"/>
          <w:b w:val="0"/>
          <w:bCs w:val="0"/>
          <w:sz w:val="24"/>
          <w:szCs w:val="24"/>
        </w:rPr>
        <w:t>16.3.1 Quando houver glosa parcial do objeto, o contratante deverá comunicar ao contratado para que emita Nota Fiscal ou Fatura com o valor exato dimensionado.</w:t>
      </w:r>
    </w:p>
    <w:p w14:paraId="29D4BE5D">
      <w:pPr>
        <w:pStyle w:val="99"/>
        <w:spacing w:before="288" w:beforeLines="120" w:after="288" w:afterLines="120" w:line="288" w:lineRule="auto"/>
        <w:ind w:left="0" w:firstLine="0"/>
        <w:contextualSpacing/>
        <w:rPr>
          <w:rFonts w:ascii="Times New Roman" w:hAnsi="Times New Roman" w:cs="Times New Roman"/>
          <w:b/>
          <w:bCs/>
          <w:i/>
          <w:iCs/>
          <w:color w:val="558ED5" w:themeColor="text2" w:themeTint="99"/>
          <w:sz w:val="24"/>
          <w:szCs w:val="24"/>
          <w:u w:val="single"/>
          <w14:textFill>
            <w14:solidFill>
              <w14:schemeClr w14:val="tx2">
                <w14:lumMod w14:val="60000"/>
                <w14:lumOff w14:val="40000"/>
              </w14:schemeClr>
            </w14:solidFill>
          </w14:textFill>
        </w:rPr>
      </w:pPr>
      <w:r>
        <w:rPr>
          <w:rFonts w:ascii="Times New Roman" w:hAnsi="Times New Roman" w:cs="Times New Roman"/>
          <w:sz w:val="24"/>
          <w:szCs w:val="24"/>
        </w:rPr>
        <w:t xml:space="preserve">16.4 O contratado deverá encaminhar a Nota Fiscal ou Fatura para pagamento à Prefeitura Municipal de Valença, Secretaria Municipal de Saúde, situada na Rua Carneiro de Mendonça, nº 139, na cidade do Valença, no Estado do Rio de Janeiro ou para o endereço eletrônico </w:t>
      </w:r>
      <w:r>
        <w:rPr>
          <w:rFonts w:ascii="Times New Roman" w:hAnsi="Times New Roman" w:cs="Times New Roman"/>
          <w:b/>
          <w:bCs/>
          <w:i/>
          <w:iCs/>
          <w:color w:val="558ED5" w:themeColor="text2" w:themeTint="99"/>
          <w:sz w:val="24"/>
          <w:szCs w:val="24"/>
          <w:u w:val="single"/>
          <w14:textFill>
            <w14:solidFill>
              <w14:schemeClr w14:val="tx2">
                <w14:lumMod w14:val="60000"/>
                <w14:lumOff w14:val="40000"/>
              </w14:schemeClr>
            </w14:solidFill>
          </w14:textFill>
        </w:rPr>
        <w:t>smas@valenca.rj.gov.br</w:t>
      </w:r>
    </w:p>
    <w:p w14:paraId="6197ACC8">
      <w:pPr>
        <w:pStyle w:val="99"/>
        <w:spacing w:line="288" w:lineRule="auto"/>
        <w:ind w:left="0" w:firstLine="0"/>
        <w:contextualSpacing/>
        <w:rPr>
          <w:rFonts w:ascii="Times New Roman" w:hAnsi="Times New Roman" w:cs="Times New Roman"/>
          <w:sz w:val="24"/>
          <w:szCs w:val="24"/>
        </w:rPr>
      </w:pPr>
    </w:p>
    <w:p w14:paraId="12CC5AF0">
      <w:pPr>
        <w:pStyle w:val="99"/>
        <w:spacing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16.5 </w:t>
      </w:r>
      <w:bookmarkStart w:id="34" w:name="_Hlk178774483"/>
      <w:r>
        <w:rPr>
          <w:rFonts w:ascii="Times New Roman" w:hAnsi="Times New Roman" w:cs="Times New Roman"/>
          <w:sz w:val="24"/>
          <w:szCs w:val="24"/>
        </w:rPr>
        <w:t xml:space="preserve">Uma vez recebidos os documentos mencionados no item 16.4, o órgão competente deverá verificar: </w:t>
      </w:r>
      <w:bookmarkEnd w:id="34"/>
    </w:p>
    <w:p w14:paraId="44C95A57">
      <w:pPr>
        <w:pStyle w:val="99"/>
        <w:spacing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 </w:t>
      </w:r>
    </w:p>
    <w:p w14:paraId="7B9B9B6F">
      <w:pPr>
        <w:pStyle w:val="99"/>
        <w:spacing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a) a manutenção das condições de habilitação exigidas pelo instrumento convocatório; </w:t>
      </w:r>
    </w:p>
    <w:p w14:paraId="1BA6FDBE">
      <w:pPr>
        <w:pStyle w:val="99"/>
        <w:spacing w:line="288" w:lineRule="auto"/>
        <w:ind w:left="0" w:firstLine="0"/>
        <w:contextualSpacing/>
        <w:rPr>
          <w:rFonts w:ascii="Times New Roman" w:hAnsi="Times New Roman" w:cs="Times New Roman"/>
          <w:sz w:val="24"/>
          <w:szCs w:val="24"/>
        </w:rPr>
      </w:pPr>
    </w:p>
    <w:p w14:paraId="706124C8">
      <w:pPr>
        <w:pStyle w:val="99"/>
        <w:spacing w:line="288" w:lineRule="auto"/>
        <w:ind w:left="0" w:firstLine="0"/>
        <w:contextualSpacing/>
        <w:rPr>
          <w:rFonts w:ascii="Times New Roman" w:hAnsi="Times New Roman" w:cs="Times New Roman"/>
          <w:sz w:val="24"/>
          <w:szCs w:val="24"/>
        </w:rPr>
      </w:pPr>
      <w:bookmarkStart w:id="35" w:name="_Hlk178774506"/>
      <w:r>
        <w:rPr>
          <w:rFonts w:ascii="Times New Roman" w:hAnsi="Times New Roman" w:cs="Times New Roman"/>
          <w:sz w:val="24"/>
          <w:szCs w:val="24"/>
        </w:rPr>
        <w:t>b) por consulta aos cadastros mencionados no item 8.1, se o contratado foi penalizado com as sanções de declaração de inidoneidade ou impedimento de licitar e contratar com o poder público, observadas as abrangências de aplicação; e</w:t>
      </w:r>
    </w:p>
    <w:p w14:paraId="59CD06CA">
      <w:pPr>
        <w:pStyle w:val="99"/>
        <w:spacing w:line="288" w:lineRule="auto"/>
        <w:ind w:left="0" w:firstLine="0"/>
        <w:contextualSpacing/>
        <w:rPr>
          <w:rFonts w:ascii="Times New Roman" w:hAnsi="Times New Roman" w:cs="Times New Roman"/>
          <w:sz w:val="24"/>
          <w:szCs w:val="24"/>
        </w:rPr>
      </w:pPr>
    </w:p>
    <w:p w14:paraId="298A5038">
      <w:pPr>
        <w:pStyle w:val="99"/>
        <w:spacing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c) por consulta ao SICAF, eventuais ocorrências impeditivas indiretas, hipótese na qual o gestor deverá verificar se houve fraude por parte das empresas apontadas no Relatório de Ocorrências Impeditivas Indiretas.</w:t>
      </w:r>
    </w:p>
    <w:bookmarkEnd w:id="35"/>
    <w:p w14:paraId="3A345035">
      <w:pPr>
        <w:pStyle w:val="99"/>
        <w:spacing w:line="288" w:lineRule="auto"/>
        <w:ind w:left="0" w:firstLine="0"/>
        <w:contextualSpacing/>
        <w:rPr>
          <w:rFonts w:ascii="Times New Roman" w:hAnsi="Times New Roman" w:cs="Times New Roman"/>
          <w:sz w:val="24"/>
          <w:szCs w:val="24"/>
        </w:rPr>
      </w:pPr>
    </w:p>
    <w:p w14:paraId="03F5CF42">
      <w:pPr>
        <w:pStyle w:val="99"/>
        <w:spacing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16.5.1 Constatando-se a situação de irregularidade do contratado, será providenciada sua notificação, por escrito, para que, no prazo de 15 (quinze) dias úteis, regularize sua situação ou, no mesmo prazo, apresente sua defesa e especifique provas que pretende produzir. O prazo poderá ser prorrogado uma vez, por igual período, a critério do contratante.</w:t>
      </w:r>
    </w:p>
    <w:p w14:paraId="081CCDD4">
      <w:pPr>
        <w:pStyle w:val="99"/>
        <w:spacing w:line="288" w:lineRule="auto"/>
        <w:ind w:left="0" w:firstLine="0"/>
        <w:contextualSpacing/>
        <w:rPr>
          <w:rFonts w:ascii="Times New Roman" w:hAnsi="Times New Roman" w:cs="Times New Roman"/>
          <w:sz w:val="24"/>
          <w:szCs w:val="24"/>
        </w:rPr>
      </w:pPr>
    </w:p>
    <w:p w14:paraId="5410EFFE">
      <w:pPr>
        <w:pStyle w:val="99"/>
        <w:spacing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16.5.2 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w:t>
      </w:r>
    </w:p>
    <w:p w14:paraId="28D3C309">
      <w:pPr>
        <w:pStyle w:val="99"/>
        <w:spacing w:line="288" w:lineRule="auto"/>
        <w:ind w:left="0" w:firstLine="0"/>
        <w:contextualSpacing/>
        <w:rPr>
          <w:rFonts w:ascii="Times New Roman" w:hAnsi="Times New Roman" w:cs="Times New Roman"/>
          <w:sz w:val="24"/>
          <w:szCs w:val="24"/>
        </w:rPr>
      </w:pPr>
    </w:p>
    <w:p w14:paraId="5EEDE8FD">
      <w:pPr>
        <w:pStyle w:val="99"/>
        <w:spacing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16.5.3 Persistindo a irregularidade, o contratante deverá adotar as medidas necessárias à rescisão do Contrato nos autos do processo administrativo correspondente, assegurada ao contratado a ampla defesa.</w:t>
      </w:r>
    </w:p>
    <w:p w14:paraId="68101F01">
      <w:pPr>
        <w:pStyle w:val="99"/>
        <w:spacing w:line="288" w:lineRule="auto"/>
        <w:ind w:left="0" w:firstLine="0"/>
        <w:contextualSpacing/>
        <w:rPr>
          <w:rFonts w:ascii="Times New Roman" w:hAnsi="Times New Roman" w:cs="Times New Roman"/>
          <w:sz w:val="24"/>
          <w:szCs w:val="24"/>
        </w:rPr>
      </w:pPr>
    </w:p>
    <w:p w14:paraId="4D82552F">
      <w:pPr>
        <w:pStyle w:val="99"/>
        <w:spacing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16.5.4 Havendo a efetiva execução do objeto, os pagamentos serão realizados normalmente, até que se decida pela rescisão do Contrato, caso o contratado não regularize sua situação.</w:t>
      </w:r>
    </w:p>
    <w:p w14:paraId="1C0AD487">
      <w:pPr>
        <w:pStyle w:val="99"/>
        <w:spacing w:line="288" w:lineRule="auto"/>
        <w:ind w:left="0" w:firstLine="0"/>
        <w:contextualSpacing/>
        <w:rPr>
          <w:rFonts w:ascii="Times New Roman" w:hAnsi="Times New Roman" w:cs="Times New Roman"/>
          <w:sz w:val="24"/>
          <w:szCs w:val="24"/>
        </w:rPr>
      </w:pPr>
    </w:p>
    <w:p w14:paraId="6687FA76">
      <w:pPr>
        <w:pStyle w:val="99"/>
        <w:spacing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16.6 O pagamento será efetuado no prazo máximo de até </w:t>
      </w:r>
      <w:r>
        <w:rPr>
          <w:rFonts w:ascii="Times New Roman" w:hAnsi="Times New Roman" w:cs="Times New Roman"/>
          <w:color w:val="000000" w:themeColor="text1"/>
          <w:sz w:val="24"/>
          <w:szCs w:val="24"/>
          <w14:textFill>
            <w14:solidFill>
              <w14:schemeClr w14:val="tx1"/>
            </w14:solidFill>
          </w14:textFill>
        </w:rPr>
        <w:t>30 (trinta) dias</w:t>
      </w:r>
      <w:r>
        <w:rPr>
          <w:rFonts w:ascii="Times New Roman" w:hAnsi="Times New Roman" w:cs="Times New Roman"/>
          <w:sz w:val="24"/>
          <w:szCs w:val="24"/>
        </w:rPr>
        <w:t xml:space="preserve">, contados do recebimento da Nota Fiscal ou Fatura. </w:t>
      </w:r>
    </w:p>
    <w:p w14:paraId="09A05C49">
      <w:pPr>
        <w:pStyle w:val="99"/>
        <w:spacing w:line="288" w:lineRule="auto"/>
        <w:ind w:left="0" w:firstLine="0"/>
        <w:contextualSpacing/>
        <w:rPr>
          <w:rFonts w:ascii="Times New Roman" w:hAnsi="Times New Roman" w:cs="Times New Roman"/>
          <w:sz w:val="24"/>
          <w:szCs w:val="24"/>
        </w:rPr>
      </w:pPr>
    </w:p>
    <w:p w14:paraId="680100B5">
      <w:pPr>
        <w:pStyle w:val="99"/>
        <w:spacing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16.6.1 Havendo erro na apresentação da Nota Fiscal ou Fatura, ou circunstância que impeça a liquidação da despesa, o pagamento ficará sobrestado até que o contratado providencie as medidas saneadoras. Nessa hipótese, o prazo para pagamento iniciar-se-á após a comprovação da regularização da situação, não acarretando qualquer ônus para o contratante.</w:t>
      </w:r>
    </w:p>
    <w:p w14:paraId="098515B2">
      <w:pPr>
        <w:pStyle w:val="99"/>
        <w:spacing w:line="288" w:lineRule="auto"/>
        <w:ind w:left="0" w:firstLine="0"/>
        <w:contextualSpacing/>
        <w:rPr>
          <w:rFonts w:ascii="Times New Roman" w:hAnsi="Times New Roman" w:cs="Times New Roman"/>
          <w:sz w:val="24"/>
          <w:szCs w:val="24"/>
        </w:rPr>
      </w:pPr>
    </w:p>
    <w:p w14:paraId="519DFD65">
      <w:pPr>
        <w:pStyle w:val="99"/>
        <w:spacing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16.7 Quando do pagamento, será efetuada a retenção tributária prevista na legislação aplicável.</w:t>
      </w:r>
    </w:p>
    <w:p w14:paraId="350EDA38">
      <w:pPr>
        <w:pStyle w:val="99"/>
        <w:spacing w:line="288" w:lineRule="auto"/>
        <w:ind w:left="0" w:firstLine="0"/>
        <w:contextualSpacing/>
        <w:rPr>
          <w:rFonts w:ascii="Times New Roman" w:hAnsi="Times New Roman" w:cs="Times New Roman"/>
          <w:sz w:val="24"/>
          <w:szCs w:val="24"/>
        </w:rPr>
      </w:pPr>
    </w:p>
    <w:p w14:paraId="15D6579C">
      <w:pPr>
        <w:pStyle w:val="99"/>
        <w:spacing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16.7.1 Independentemente do percentual de tributo inserido na planilha, no pagamento serão retidos na fonte os percentuais estabelecidos na legislação vigente.</w:t>
      </w:r>
    </w:p>
    <w:p w14:paraId="5AEBB72A">
      <w:pPr>
        <w:pStyle w:val="99"/>
        <w:spacing w:line="288" w:lineRule="auto"/>
        <w:ind w:left="0" w:firstLine="0"/>
        <w:contextualSpacing/>
        <w:rPr>
          <w:rFonts w:ascii="Times New Roman" w:hAnsi="Times New Roman" w:cs="Times New Roman"/>
          <w:sz w:val="24"/>
          <w:szCs w:val="24"/>
        </w:rPr>
      </w:pPr>
    </w:p>
    <w:p w14:paraId="1FDEA8A4">
      <w:pPr>
        <w:pStyle w:val="99"/>
        <w:spacing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16.7.2 O contratado regularmente optante pelo Simples Nacional, nos termos da Lei Complementar nº 123/2006,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 nº 123/2006.</w:t>
      </w:r>
    </w:p>
    <w:p w14:paraId="3BF86203">
      <w:pPr>
        <w:pStyle w:val="99"/>
        <w:spacing w:line="288" w:lineRule="auto"/>
        <w:ind w:left="0" w:firstLine="0"/>
        <w:contextualSpacing/>
        <w:rPr>
          <w:rFonts w:ascii="Times New Roman" w:hAnsi="Times New Roman" w:cs="Times New Roman"/>
          <w:sz w:val="24"/>
          <w:szCs w:val="24"/>
        </w:rPr>
      </w:pPr>
    </w:p>
    <w:p w14:paraId="42D4DD0A">
      <w:pPr>
        <w:pStyle w:val="99"/>
        <w:spacing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16.8 Os pagamentos eventualmente realizados com atraso, desde que não decorram de ato ou fato atribuível ao contratado, sofrerão a incidência de atualização monetária e juros de mora pelo </w:t>
      </w:r>
      <w:r>
        <w:rPr>
          <w:rFonts w:ascii="Times New Roman" w:hAnsi="Times New Roman" w:cs="Times New Roman"/>
          <w:bCs/>
          <w:color w:val="auto"/>
          <w:sz w:val="24"/>
          <w:szCs w:val="24"/>
        </w:rPr>
        <w:t>IPCA-E</w:t>
      </w:r>
      <w:r>
        <w:rPr>
          <w:rFonts w:ascii="Times New Roman" w:hAnsi="Times New Roman" w:cs="Times New Roman"/>
          <w:sz w:val="24"/>
          <w:szCs w:val="24"/>
        </w:rPr>
        <w:t xml:space="preserve">, calculado </w:t>
      </w:r>
      <w:r>
        <w:rPr>
          <w:rFonts w:ascii="Times New Roman" w:hAnsi="Times New Roman" w:cs="Times New Roman"/>
          <w:i/>
          <w:sz w:val="24"/>
          <w:szCs w:val="24"/>
        </w:rPr>
        <w:t>pro rata die</w:t>
      </w:r>
      <w:r>
        <w:rPr>
          <w:rFonts w:ascii="Times New Roman" w:hAnsi="Times New Roman" w:cs="Times New Roman"/>
          <w:sz w:val="24"/>
          <w:szCs w:val="24"/>
        </w:rPr>
        <w:t xml:space="preserve">, e aqueles pagos em prazo inferior ao estabelecido no instrumento convocatório serão feitos mediante desconto de 0,5% (um meio por cento) ao mês, calculado </w:t>
      </w:r>
      <w:r>
        <w:rPr>
          <w:rFonts w:ascii="Times New Roman" w:hAnsi="Times New Roman" w:cs="Times New Roman"/>
          <w:i/>
          <w:sz w:val="24"/>
          <w:szCs w:val="24"/>
        </w:rPr>
        <w:t>pro rata die.</w:t>
      </w:r>
    </w:p>
    <w:p w14:paraId="7B309B33">
      <w:pPr>
        <w:pStyle w:val="99"/>
        <w:spacing w:line="288" w:lineRule="auto"/>
        <w:ind w:left="0" w:firstLine="0"/>
        <w:contextualSpacing/>
        <w:rPr>
          <w:rFonts w:ascii="Times New Roman" w:hAnsi="Times New Roman" w:cs="Times New Roman"/>
          <w:sz w:val="24"/>
          <w:szCs w:val="24"/>
        </w:rPr>
      </w:pPr>
    </w:p>
    <w:p w14:paraId="12BEFA2D">
      <w:pPr>
        <w:pStyle w:val="99"/>
        <w:spacing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16.9 O contratado deverá emitir a Nota Fiscal Eletrônica – NF-e, consoante o Protocolo ICMS nº 42/2009, com a redação conferida pelo Protocolo ICMS nº 85/2010, e caso seu estabelecimento esteja localizado no Estado do Rio de Janeiro, deverá observar a forma prescrita nas alíneas </w:t>
      </w:r>
      <w:r>
        <w:rPr>
          <w:rFonts w:ascii="Times New Roman" w:hAnsi="Times New Roman" w:cs="Times New Roman"/>
          <w:i/>
          <w:sz w:val="24"/>
          <w:szCs w:val="24"/>
        </w:rPr>
        <w:t xml:space="preserve">a, b, c, d </w:t>
      </w:r>
      <w:r>
        <w:rPr>
          <w:rFonts w:ascii="Times New Roman" w:hAnsi="Times New Roman" w:cs="Times New Roman"/>
          <w:sz w:val="24"/>
          <w:szCs w:val="24"/>
        </w:rPr>
        <w:t xml:space="preserve">e </w:t>
      </w:r>
      <w:r>
        <w:rPr>
          <w:rFonts w:ascii="Times New Roman" w:hAnsi="Times New Roman" w:cs="Times New Roman"/>
          <w:i/>
          <w:sz w:val="24"/>
          <w:szCs w:val="24"/>
        </w:rPr>
        <w:t xml:space="preserve">e, </w:t>
      </w:r>
      <w:r>
        <w:rPr>
          <w:rFonts w:ascii="Times New Roman" w:hAnsi="Times New Roman" w:cs="Times New Roman"/>
          <w:sz w:val="24"/>
          <w:szCs w:val="24"/>
        </w:rPr>
        <w:t>do §1º, do art. 2º da Resolução SEFAZ nº 971/2016.</w:t>
      </w:r>
    </w:p>
    <w:p w14:paraId="4390538F">
      <w:pPr>
        <w:pStyle w:val="99"/>
        <w:spacing w:line="288" w:lineRule="auto"/>
        <w:ind w:left="0" w:firstLine="0"/>
        <w:contextualSpacing/>
        <w:rPr>
          <w:rFonts w:ascii="Times New Roman" w:hAnsi="Times New Roman" w:cs="Times New Roman"/>
          <w:sz w:val="24"/>
          <w:szCs w:val="24"/>
        </w:rPr>
      </w:pPr>
    </w:p>
    <w:p w14:paraId="12E26C2B">
      <w:pPr>
        <w:pStyle w:val="99"/>
        <w:spacing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16.10 Caso o Edital admita a subcontratação, os pagamentos aos subcontratados serão realizados diretamente pelo contratado, ficando vedada a emissão de empenho do contratante diretamente aos subcontratados.</w:t>
      </w:r>
    </w:p>
    <w:p w14:paraId="135C7196">
      <w:pPr>
        <w:pStyle w:val="99"/>
        <w:spacing w:line="288" w:lineRule="auto"/>
        <w:ind w:left="0" w:firstLine="0"/>
        <w:contextualSpacing/>
        <w:rPr>
          <w:rFonts w:ascii="Times New Roman" w:hAnsi="Times New Roman" w:cs="Times New Roman"/>
          <w:sz w:val="24"/>
          <w:szCs w:val="24"/>
        </w:rPr>
      </w:pPr>
    </w:p>
    <w:p w14:paraId="5C7E314D">
      <w:pPr>
        <w:pStyle w:val="99"/>
        <w:spacing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16.10.1 A subcontratação porventura realizada será integralmente custeada pelo contratado.</w:t>
      </w:r>
    </w:p>
    <w:p w14:paraId="70363E72">
      <w:pPr>
        <w:pStyle w:val="97"/>
        <w:spacing w:before="0" w:beforeAutospacing="0" w:after="0" w:afterAutospacing="0" w:line="288" w:lineRule="auto"/>
        <w:contextualSpacing/>
        <w:jc w:val="both"/>
        <w:rPr>
          <w:rFonts w:eastAsia="Calibri"/>
          <w:lang w:eastAsia="en-US"/>
        </w:rPr>
      </w:pPr>
    </w:p>
    <w:p w14:paraId="6C0695B2">
      <w:pPr>
        <w:pStyle w:val="97"/>
        <w:spacing w:before="0" w:beforeAutospacing="0" w:after="0" w:afterAutospacing="0" w:line="288" w:lineRule="auto"/>
        <w:contextualSpacing/>
        <w:jc w:val="both"/>
        <w:rPr>
          <w:rFonts w:eastAsia="Calibri"/>
          <w:b/>
          <w:bCs/>
          <w:lang w:eastAsia="en-US"/>
        </w:rPr>
      </w:pPr>
      <w:r>
        <w:rPr>
          <w:rFonts w:eastAsia="Calibri"/>
          <w:b/>
          <w:bCs/>
          <w:lang w:eastAsia="en-US"/>
        </w:rPr>
        <w:t xml:space="preserve">17. PRAZO CONTRATUAL </w:t>
      </w:r>
    </w:p>
    <w:p w14:paraId="53A9B849">
      <w:pPr>
        <w:pStyle w:val="99"/>
        <w:spacing w:before="0" w:after="0" w:line="288" w:lineRule="auto"/>
        <w:ind w:left="0" w:firstLine="0"/>
        <w:contextualSpacing/>
        <w:rPr>
          <w:rFonts w:ascii="Times New Roman" w:hAnsi="Times New Roman" w:cs="Times New Roman"/>
          <w:sz w:val="24"/>
          <w:szCs w:val="24"/>
        </w:rPr>
      </w:pPr>
    </w:p>
    <w:p w14:paraId="310FB4A4">
      <w:pPr>
        <w:pStyle w:val="99"/>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17.1 O prazo de vigência do Contrato é de </w:t>
      </w:r>
      <w:r>
        <w:rPr>
          <w:rFonts w:ascii="Times New Roman" w:hAnsi="Times New Roman" w:cs="Times New Roman"/>
          <w:color w:val="000000" w:themeColor="text1"/>
          <w:sz w:val="24"/>
          <w:szCs w:val="24"/>
          <w14:textFill>
            <w14:solidFill>
              <w14:schemeClr w14:val="tx1"/>
            </w14:solidFill>
          </w14:textFill>
        </w:rPr>
        <w:t>12 meses</w:t>
      </w:r>
      <w:r>
        <w:rPr>
          <w:rFonts w:ascii="Times New Roman" w:hAnsi="Times New Roman" w:cs="Times New Roman"/>
          <w:sz w:val="24"/>
          <w:szCs w:val="24"/>
        </w:rPr>
        <w:t xml:space="preserve">, contado da data da </w:t>
      </w:r>
      <w:r>
        <w:rPr>
          <w:rFonts w:ascii="Times New Roman" w:hAnsi="Times New Roman" w:cs="Times New Roman"/>
          <w:iCs/>
          <w:sz w:val="24"/>
          <w:szCs w:val="24"/>
        </w:rPr>
        <w:t>divulgação no Portal Nacional de Contratações Públicas</w:t>
      </w:r>
      <w:r>
        <w:rPr>
          <w:rFonts w:ascii="Times New Roman" w:hAnsi="Times New Roman" w:cs="Times New Roman"/>
          <w:sz w:val="24"/>
          <w:szCs w:val="24"/>
        </w:rPr>
        <w:t>.</w:t>
      </w:r>
    </w:p>
    <w:p w14:paraId="4291D58A">
      <w:pPr>
        <w:pStyle w:val="99"/>
        <w:spacing w:after="0" w:line="288" w:lineRule="auto"/>
        <w:ind w:left="0" w:firstLine="0"/>
        <w:contextualSpacing/>
        <w:rPr>
          <w:rFonts w:ascii="Times New Roman" w:hAnsi="Times New Roman" w:cs="Times New Roman"/>
          <w:color w:val="auto"/>
          <w:sz w:val="24"/>
          <w:szCs w:val="24"/>
        </w:rPr>
      </w:pPr>
    </w:p>
    <w:p w14:paraId="6FB9E06D">
      <w:pPr>
        <w:pStyle w:val="99"/>
        <w:spacing w:after="0" w:line="288" w:lineRule="auto"/>
        <w:ind w:left="0" w:firstLine="0"/>
        <w:contextualSpacing/>
        <w:rPr>
          <w:rFonts w:ascii="Times New Roman" w:hAnsi="Times New Roman" w:cs="Times New Roman"/>
          <w:sz w:val="24"/>
          <w:szCs w:val="24"/>
        </w:rPr>
      </w:pPr>
      <w:r>
        <w:rPr>
          <w:rFonts w:ascii="Times New Roman" w:hAnsi="Times New Roman" w:cs="Times New Roman"/>
          <w:color w:val="auto"/>
          <w:sz w:val="24"/>
          <w:szCs w:val="24"/>
        </w:rPr>
        <w:t>17.2 O prazo de vigência será automaticamente prorrogado,</w:t>
      </w:r>
      <w:r>
        <w:rPr>
          <w:rFonts w:ascii="Times New Roman" w:hAnsi="Times New Roman" w:cs="Times New Roman"/>
          <w:bCs/>
          <w:iCs/>
          <w:color w:val="auto"/>
          <w:sz w:val="24"/>
          <w:szCs w:val="24"/>
        </w:rPr>
        <w:t xml:space="preserve"> sem prejuízo da formalização adequada,</w:t>
      </w:r>
      <w:r>
        <w:rPr>
          <w:rFonts w:ascii="Times New Roman" w:hAnsi="Times New Roman" w:cs="Times New Roman"/>
          <w:color w:val="auto"/>
          <w:sz w:val="24"/>
          <w:szCs w:val="24"/>
        </w:rPr>
        <w:t xml:space="preserve"> quando o objeto não for concluído no período firmado acima, ressalvadas as providências cabíveis no caso de culpa do contratado, previstas neste instrumento e no Contrato.</w:t>
      </w:r>
      <w:r>
        <w:rPr>
          <w:rFonts w:ascii="Times New Roman" w:hAnsi="Times New Roman" w:cs="Times New Roman"/>
          <w:sz w:val="24"/>
          <w:szCs w:val="24"/>
        </w:rPr>
        <w:t> </w:t>
      </w:r>
    </w:p>
    <w:p w14:paraId="48E3B8DF">
      <w:pPr>
        <w:pStyle w:val="99"/>
        <w:spacing w:after="0" w:line="288" w:lineRule="auto"/>
        <w:ind w:left="0" w:firstLine="0"/>
        <w:contextualSpacing/>
        <w:rPr>
          <w:rFonts w:ascii="Times New Roman" w:hAnsi="Times New Roman" w:cs="Times New Roman"/>
          <w:sz w:val="24"/>
          <w:szCs w:val="24"/>
        </w:rPr>
      </w:pPr>
    </w:p>
    <w:p w14:paraId="633825D7">
      <w:pPr>
        <w:pStyle w:val="97"/>
        <w:spacing w:before="0" w:beforeAutospacing="0" w:after="0" w:afterAutospacing="0" w:line="288" w:lineRule="auto"/>
        <w:contextualSpacing/>
        <w:jc w:val="both"/>
      </w:pPr>
      <w:r>
        <w:rPr>
          <w:rFonts w:eastAsia="Calibri"/>
          <w:b/>
          <w:bCs/>
          <w:lang w:eastAsia="en-US"/>
        </w:rPr>
        <w:t xml:space="preserve">18. REAJUSTE </w:t>
      </w:r>
    </w:p>
    <w:p w14:paraId="7C109958">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18.1 Os preços contratados serão reajustados após o interregno de 1 (um) ano, mediante solicitação do contratado.</w:t>
      </w:r>
    </w:p>
    <w:p w14:paraId="23D7C8EB">
      <w:pPr>
        <w:pStyle w:val="99"/>
        <w:spacing w:before="288" w:beforeLines="120" w:after="288" w:afterLines="120" w:line="288" w:lineRule="auto"/>
        <w:ind w:left="0" w:firstLine="0"/>
        <w:contextualSpacing/>
        <w:rPr>
          <w:rFonts w:ascii="Times New Roman" w:hAnsi="Times New Roman" w:cs="Times New Roman"/>
          <w:sz w:val="24"/>
          <w:szCs w:val="24"/>
        </w:rPr>
      </w:pPr>
    </w:p>
    <w:p w14:paraId="2843B444">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18.2 O interregno mínimo de 1 (um) ano para o primeiro reajuste será contado da data do orçamento estimado. </w:t>
      </w:r>
    </w:p>
    <w:p w14:paraId="486766D3">
      <w:pPr>
        <w:pStyle w:val="99"/>
        <w:spacing w:before="288" w:beforeLines="120" w:after="288" w:afterLines="120" w:line="288" w:lineRule="auto"/>
        <w:ind w:left="0" w:firstLine="0"/>
        <w:contextualSpacing/>
        <w:rPr>
          <w:rFonts w:ascii="Times New Roman" w:hAnsi="Times New Roman" w:cs="Times New Roman"/>
          <w:color w:val="auto"/>
          <w:sz w:val="24"/>
          <w:szCs w:val="24"/>
        </w:rPr>
      </w:pPr>
    </w:p>
    <w:p w14:paraId="41E0897D">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color w:val="auto"/>
          <w:sz w:val="24"/>
          <w:szCs w:val="24"/>
        </w:rPr>
        <w:t xml:space="preserve">18.3 </w:t>
      </w:r>
      <w:r>
        <w:rPr>
          <w:rFonts w:ascii="Times New Roman" w:hAnsi="Times New Roman" w:cs="Times New Roman"/>
          <w:sz w:val="24"/>
          <w:szCs w:val="24"/>
        </w:rPr>
        <w:t>Nos reajustes subsequentes ao primeiro, o interregno mínimo de um ano será contado a partir do fato gerador que deu ensejo ao último reajuste.</w:t>
      </w:r>
    </w:p>
    <w:p w14:paraId="5E075C45">
      <w:pPr>
        <w:pStyle w:val="99"/>
        <w:spacing w:before="288" w:beforeLines="120" w:after="288" w:afterLines="120" w:line="288" w:lineRule="auto"/>
        <w:ind w:left="0" w:firstLine="0"/>
        <w:contextualSpacing/>
        <w:rPr>
          <w:rFonts w:ascii="Times New Roman" w:hAnsi="Times New Roman" w:cs="Times New Roman"/>
          <w:color w:val="auto"/>
          <w:sz w:val="24"/>
          <w:szCs w:val="24"/>
        </w:rPr>
      </w:pPr>
    </w:p>
    <w:p w14:paraId="5B6BB76E">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color w:val="auto"/>
          <w:sz w:val="24"/>
          <w:szCs w:val="24"/>
        </w:rPr>
        <w:t xml:space="preserve">18.4 </w:t>
      </w:r>
      <w:r>
        <w:rPr>
          <w:rFonts w:ascii="Times New Roman" w:hAnsi="Times New Roman" w:cs="Times New Roman"/>
          <w:sz w:val="24"/>
          <w:szCs w:val="24"/>
        </w:rPr>
        <w:t>Os preços iniciais serão reajustados, mediante a aplicação, pelo contratante, do índice IPCA, exclusivamente para as obrigações que se iniciem após a anualidade.</w:t>
      </w:r>
    </w:p>
    <w:p w14:paraId="4E68D42C">
      <w:pPr>
        <w:pStyle w:val="99"/>
        <w:spacing w:before="288" w:beforeLines="120" w:after="288" w:afterLines="120" w:line="288" w:lineRule="auto"/>
        <w:ind w:left="0" w:firstLine="0"/>
        <w:contextualSpacing/>
        <w:rPr>
          <w:rFonts w:ascii="Times New Roman" w:hAnsi="Times New Roman" w:cs="Times New Roman"/>
          <w:color w:val="FF0000"/>
          <w:sz w:val="24"/>
          <w:szCs w:val="24"/>
        </w:rPr>
      </w:pPr>
      <w:bookmarkStart w:id="36" w:name="_Hlk153284733"/>
    </w:p>
    <w:bookmarkEnd w:id="36"/>
    <w:p w14:paraId="26A07454">
      <w:pPr>
        <w:pStyle w:val="99"/>
        <w:spacing w:before="288" w:beforeLines="120" w:after="288" w:afterLines="120" w:line="288" w:lineRule="auto"/>
        <w:ind w:left="0" w:firstLine="0"/>
        <w:contextualSpacing/>
        <w:rPr>
          <w:rFonts w:ascii="Times New Roman" w:hAnsi="Times New Roman" w:cs="Times New Roman"/>
          <w:color w:val="auto"/>
          <w:sz w:val="24"/>
          <w:szCs w:val="24"/>
        </w:rPr>
      </w:pPr>
    </w:p>
    <w:p w14:paraId="749B73E8">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color w:val="auto"/>
          <w:sz w:val="24"/>
          <w:szCs w:val="24"/>
        </w:rPr>
        <w:t xml:space="preserve">18.5 </w:t>
      </w:r>
      <w:r>
        <w:rPr>
          <w:rFonts w:ascii="Times New Roman" w:hAnsi="Times New Roman" w:cs="Times New Roman"/>
          <w:sz w:val="24"/>
          <w:szCs w:val="24"/>
        </w:rPr>
        <w:t xml:space="preserve">No caso de atraso ou não divulgação do(s) índice(s) de reajustamento, o contratante pagará ao contratado a importância calculada pela última variação conhecida, liquidando a diferença correspondente tão logo seja(m) divulgado(s) o(s) índice(s) definitivo(s). </w:t>
      </w:r>
    </w:p>
    <w:p w14:paraId="0ABA90BB">
      <w:pPr>
        <w:pStyle w:val="99"/>
        <w:spacing w:before="288" w:beforeLines="120" w:after="288" w:afterLines="120" w:line="288" w:lineRule="auto"/>
        <w:ind w:left="0" w:firstLine="0"/>
        <w:contextualSpacing/>
        <w:rPr>
          <w:rFonts w:ascii="Times New Roman" w:hAnsi="Times New Roman" w:cs="Times New Roman"/>
          <w:sz w:val="24"/>
          <w:szCs w:val="24"/>
        </w:rPr>
      </w:pPr>
    </w:p>
    <w:p w14:paraId="324F1CBE">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18.5.1 Fica o contratado obrigado a apresentar memória de cálculo referente ao reajustamento de preços do valor remanescente, sempre que este ocorrer, sendo adotado na aferição final o índice definitivo.</w:t>
      </w:r>
    </w:p>
    <w:p w14:paraId="200E7174">
      <w:pPr>
        <w:pStyle w:val="99"/>
        <w:spacing w:before="288" w:beforeLines="120" w:after="288" w:afterLines="120" w:line="288" w:lineRule="auto"/>
        <w:ind w:left="0" w:firstLine="0"/>
        <w:contextualSpacing/>
        <w:rPr>
          <w:rFonts w:ascii="Times New Roman" w:hAnsi="Times New Roman" w:cs="Times New Roman"/>
          <w:sz w:val="24"/>
          <w:szCs w:val="24"/>
        </w:rPr>
      </w:pPr>
    </w:p>
    <w:p w14:paraId="65232D1B">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18.6 Caso o(s) índice(s) estabelecido(s) para reajustamento venha(m) a ser extinto(s) ou de qualquer forma não possa(m) mais ser utilizado(s), será(ão) adotado(s), em substituição, o(s) que vier(em) a ser determinado(s) pela legislação então em vigor.</w:t>
      </w:r>
    </w:p>
    <w:p w14:paraId="118646F8">
      <w:pPr>
        <w:pStyle w:val="99"/>
        <w:spacing w:before="288" w:beforeLines="120" w:after="288" w:afterLines="120" w:line="288" w:lineRule="auto"/>
        <w:ind w:left="0" w:firstLine="0"/>
        <w:contextualSpacing/>
        <w:rPr>
          <w:rFonts w:ascii="Times New Roman" w:hAnsi="Times New Roman" w:cs="Times New Roman"/>
          <w:sz w:val="24"/>
          <w:szCs w:val="24"/>
        </w:rPr>
      </w:pPr>
    </w:p>
    <w:p w14:paraId="675D499F">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18.7 Na ausência de previsão legal quanto ao índice substituto, as partes elegerão novo índice oficial, para reajustamento do preço do valor remanescente, por meio de termo aditivo.</w:t>
      </w:r>
    </w:p>
    <w:p w14:paraId="00DE3514">
      <w:pPr>
        <w:pStyle w:val="99"/>
        <w:spacing w:before="288" w:beforeLines="120" w:after="288" w:afterLines="120" w:line="288" w:lineRule="auto"/>
        <w:ind w:left="0" w:firstLine="0"/>
        <w:contextualSpacing/>
        <w:rPr>
          <w:rFonts w:ascii="Times New Roman" w:hAnsi="Times New Roman" w:cs="Times New Roman"/>
          <w:sz w:val="24"/>
          <w:szCs w:val="24"/>
        </w:rPr>
      </w:pPr>
    </w:p>
    <w:p w14:paraId="67A6EB59">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18.8 O pedido de reajuste deverá ser formulado durante a vigência do contrato e antes de eventual prorrogação contratual, sob pena de preclusão.</w:t>
      </w:r>
    </w:p>
    <w:p w14:paraId="099FA02F">
      <w:pPr>
        <w:pStyle w:val="99"/>
        <w:spacing w:before="288" w:beforeLines="120" w:after="288" w:afterLines="120" w:line="288" w:lineRule="auto"/>
        <w:ind w:left="0" w:firstLine="0"/>
        <w:contextualSpacing/>
        <w:rPr>
          <w:rFonts w:ascii="Times New Roman" w:hAnsi="Times New Roman" w:cs="Times New Roman"/>
          <w:sz w:val="24"/>
          <w:szCs w:val="24"/>
        </w:rPr>
      </w:pPr>
    </w:p>
    <w:p w14:paraId="4BD0EAC3">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18.8.1 Os efeitos financeiros do pedido de reajuste serão contados:</w:t>
      </w:r>
    </w:p>
    <w:p w14:paraId="28CB23D1">
      <w:pPr>
        <w:pStyle w:val="99"/>
        <w:spacing w:before="288" w:beforeLines="120" w:after="288" w:afterLines="120" w:line="288" w:lineRule="auto"/>
        <w:ind w:left="0" w:firstLine="0"/>
        <w:contextualSpacing/>
        <w:rPr>
          <w:rFonts w:ascii="Times New Roman" w:hAnsi="Times New Roman" w:cs="Times New Roman"/>
          <w:sz w:val="24"/>
          <w:szCs w:val="24"/>
        </w:rPr>
      </w:pPr>
    </w:p>
    <w:p w14:paraId="1429CEC3">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a) da data-base prevista no contrato, desde que requerido o reajuste no prazo de 60 (sessenta) dias da data de publicação do índice ajustado contratualmente;</w:t>
      </w:r>
    </w:p>
    <w:p w14:paraId="22EDCD68">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b) a partir da data do requerimento do contratado, caso o pedido seja formulado após o prazo fixado na alínea a, acima, o que não acarretará a alteração do marco para cômputo da anualidade do reajustamento, já adotado no edital e no contrato.</w:t>
      </w:r>
    </w:p>
    <w:p w14:paraId="17EDDBF6">
      <w:pPr>
        <w:pStyle w:val="99"/>
        <w:spacing w:before="288" w:beforeLines="120" w:after="288" w:afterLines="120" w:line="288" w:lineRule="auto"/>
        <w:ind w:left="0" w:firstLine="0"/>
        <w:contextualSpacing/>
        <w:rPr>
          <w:rFonts w:ascii="Times New Roman" w:hAnsi="Times New Roman" w:cs="Times New Roman"/>
          <w:color w:val="auto"/>
          <w:sz w:val="24"/>
          <w:szCs w:val="24"/>
        </w:rPr>
      </w:pPr>
    </w:p>
    <w:p w14:paraId="1B1C234B">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color w:val="auto"/>
          <w:sz w:val="24"/>
          <w:szCs w:val="24"/>
        </w:rPr>
        <w:t xml:space="preserve">18.9 </w:t>
      </w:r>
      <w:r>
        <w:rPr>
          <w:rFonts w:ascii="Times New Roman" w:hAnsi="Times New Roman" w:cs="Times New Roman"/>
          <w:sz w:val="24"/>
          <w:szCs w:val="24"/>
        </w:rPr>
        <w:t>Caso, na data de eventual prorrogação contratual, ainda não tenha sido divulgado o índice de reajuste, deverá, a requerimento do contratado, ser inserida cláusula no termo aditivo de prorrogação para resguardar o direito futuro do contratado, a ser exercido tão logo se disponha dos valores reajustados, sob pena de preclusão.</w:t>
      </w:r>
    </w:p>
    <w:p w14:paraId="2182AD32">
      <w:pPr>
        <w:pStyle w:val="99"/>
        <w:spacing w:before="288" w:beforeLines="120" w:after="288" w:afterLines="120" w:line="288" w:lineRule="auto"/>
        <w:ind w:left="0" w:firstLine="0"/>
        <w:contextualSpacing/>
        <w:rPr>
          <w:rFonts w:ascii="Times New Roman" w:hAnsi="Times New Roman" w:cs="Times New Roman"/>
          <w:sz w:val="24"/>
          <w:szCs w:val="24"/>
        </w:rPr>
      </w:pPr>
    </w:p>
    <w:p w14:paraId="2D3B0C71">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18.10 A extinção do contrato não configurará óbice para o deferimento do reajuste solicitado tempestivamente, hipótese em que será concedido por meio de termo indenizatório.</w:t>
      </w:r>
    </w:p>
    <w:p w14:paraId="4D590425">
      <w:pPr>
        <w:pStyle w:val="99"/>
        <w:spacing w:before="288" w:beforeLines="120" w:after="288" w:afterLines="120" w:line="288" w:lineRule="auto"/>
        <w:ind w:left="0" w:firstLine="0"/>
        <w:contextualSpacing/>
        <w:rPr>
          <w:rFonts w:ascii="Times New Roman" w:hAnsi="Times New Roman" w:cs="Times New Roman"/>
          <w:sz w:val="24"/>
          <w:szCs w:val="24"/>
        </w:rPr>
      </w:pPr>
    </w:p>
    <w:p w14:paraId="6B00E903">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18.11 O reajuste será realizado por apostilamento, se esta for a única alteração contratual a ser realizada.</w:t>
      </w:r>
    </w:p>
    <w:p w14:paraId="1CF815AC">
      <w:pPr>
        <w:pStyle w:val="99"/>
        <w:spacing w:before="288" w:beforeLines="120" w:after="288" w:afterLines="120" w:line="288" w:lineRule="auto"/>
        <w:ind w:left="0" w:firstLine="0"/>
        <w:contextualSpacing/>
        <w:rPr>
          <w:rFonts w:ascii="Times New Roman" w:hAnsi="Times New Roman" w:cs="Times New Roman"/>
          <w:sz w:val="24"/>
          <w:szCs w:val="24"/>
        </w:rPr>
      </w:pPr>
    </w:p>
    <w:p w14:paraId="74642B71">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18.12 O reajuste de preços não interfere no direito das partes de solicitar, a qualquer momento, a manutenção do equilíbrio econômico dos contratos com base no disposto no art. 124, inciso II, alínea “d”, da Lei n.º 14.133/2021.</w:t>
      </w:r>
    </w:p>
    <w:p w14:paraId="41E38496">
      <w:pPr>
        <w:pStyle w:val="97"/>
        <w:spacing w:before="0" w:beforeAutospacing="0" w:after="0" w:afterAutospacing="0" w:line="288" w:lineRule="auto"/>
        <w:contextualSpacing/>
        <w:jc w:val="both"/>
        <w:rPr>
          <w:rFonts w:eastAsia="Calibri"/>
          <w:b/>
          <w:bCs/>
          <w:lang w:eastAsia="en-US"/>
        </w:rPr>
      </w:pPr>
      <w:r>
        <w:rPr>
          <w:rFonts w:eastAsia="Calibri"/>
          <w:b/>
          <w:bCs/>
          <w:lang w:eastAsia="en-US"/>
        </w:rPr>
        <w:t>19. EXECUÇÃO, GESTÃO E FISCALIZAÇÃO CONTRATUAIS</w:t>
      </w:r>
    </w:p>
    <w:p w14:paraId="6DEABBD4">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19.1 O regime de execução contratual, o modelo de gestão e a fiscalização, assim como os prazos e condições de conclusão, entrega, observação e recebimento se submetem ao disposto no Termo de Referência anexo a este Edital, na forma do Decreto nº 40/2025.</w:t>
      </w:r>
      <w:r>
        <w:rPr>
          <w:rFonts w:ascii="Times New Roman" w:hAnsi="Times New Roman" w:cs="Times New Roman"/>
          <w:color w:val="auto"/>
        </w:rPr>
        <w:t xml:space="preserve"> </w:t>
      </w:r>
    </w:p>
    <w:p w14:paraId="64CD68A1">
      <w:pPr>
        <w:pStyle w:val="74"/>
        <w:spacing w:line="360" w:lineRule="auto"/>
        <w:jc w:val="both"/>
        <w:rPr>
          <w:rFonts w:ascii="Times New Roman" w:hAnsi="Times New Roman" w:cs="Times New Roman"/>
          <w:color w:val="auto"/>
        </w:rPr>
      </w:pPr>
    </w:p>
    <w:p w14:paraId="678E9EC1">
      <w:pPr>
        <w:spacing w:line="288" w:lineRule="auto"/>
        <w:contextualSpacing/>
        <w:jc w:val="both"/>
        <w:rPr>
          <w:b/>
          <w:bCs/>
          <w:sz w:val="24"/>
          <w:szCs w:val="24"/>
        </w:rPr>
      </w:pPr>
      <w:r>
        <w:rPr>
          <w:b/>
          <w:bCs/>
          <w:sz w:val="24"/>
          <w:szCs w:val="24"/>
        </w:rPr>
        <w:t>20. DAS INFRAÇÕES ADMINISTRATIVAS E SANÇÕES</w:t>
      </w:r>
    </w:p>
    <w:p w14:paraId="656D347E">
      <w:pPr>
        <w:spacing w:line="288" w:lineRule="auto"/>
        <w:contextualSpacing/>
        <w:jc w:val="both"/>
        <w:rPr>
          <w:sz w:val="24"/>
          <w:szCs w:val="24"/>
        </w:rPr>
      </w:pPr>
    </w:p>
    <w:p w14:paraId="2983B292">
      <w:pPr>
        <w:spacing w:line="288" w:lineRule="auto"/>
        <w:contextualSpacing/>
        <w:jc w:val="both"/>
        <w:rPr>
          <w:color w:val="000000"/>
          <w:sz w:val="24"/>
          <w:szCs w:val="24"/>
        </w:rPr>
      </w:pPr>
      <w:r>
        <w:rPr>
          <w:color w:val="000000"/>
          <w:sz w:val="24"/>
          <w:szCs w:val="24"/>
        </w:rPr>
        <w:t>20.1 Constitui infração administrativa, a prática, pelo licitante ou contratado, das seguintes condutas previstas no art. 155 da Lei nº 14.133/2021:</w:t>
      </w:r>
    </w:p>
    <w:p w14:paraId="3C665AFD">
      <w:pPr>
        <w:spacing w:line="288" w:lineRule="auto"/>
        <w:contextualSpacing/>
        <w:jc w:val="both"/>
        <w:rPr>
          <w:color w:val="000000"/>
          <w:sz w:val="24"/>
          <w:szCs w:val="24"/>
        </w:rPr>
      </w:pPr>
    </w:p>
    <w:p w14:paraId="3DBD6E7B">
      <w:pPr>
        <w:spacing w:line="288" w:lineRule="auto"/>
        <w:contextualSpacing/>
        <w:jc w:val="both"/>
        <w:rPr>
          <w:sz w:val="24"/>
          <w:szCs w:val="24"/>
        </w:rPr>
      </w:pPr>
      <w:bookmarkStart w:id="37" w:name="_Hlk183789048"/>
      <w:r>
        <w:rPr>
          <w:color w:val="000000"/>
          <w:sz w:val="24"/>
          <w:szCs w:val="24"/>
        </w:rPr>
        <w:t>2</w:t>
      </w:r>
      <w:bookmarkEnd w:id="37"/>
      <w:r>
        <w:rPr>
          <w:color w:val="000000"/>
          <w:sz w:val="24"/>
          <w:szCs w:val="24"/>
        </w:rPr>
        <w:t>0.1.1 dar causa à inexecução parcial do contrato</w:t>
      </w:r>
      <w:r>
        <w:rPr>
          <w:sz w:val="24"/>
          <w:szCs w:val="24"/>
        </w:rPr>
        <w:t>;</w:t>
      </w:r>
    </w:p>
    <w:p w14:paraId="274444F8">
      <w:pPr>
        <w:spacing w:line="288" w:lineRule="auto"/>
        <w:contextualSpacing/>
        <w:jc w:val="both"/>
        <w:rPr>
          <w:sz w:val="24"/>
          <w:szCs w:val="24"/>
        </w:rPr>
      </w:pPr>
    </w:p>
    <w:p w14:paraId="0116A13C">
      <w:pPr>
        <w:spacing w:line="288" w:lineRule="auto"/>
        <w:contextualSpacing/>
        <w:jc w:val="both"/>
        <w:rPr>
          <w:sz w:val="24"/>
          <w:szCs w:val="24"/>
        </w:rPr>
      </w:pPr>
      <w:r>
        <w:rPr>
          <w:color w:val="000000"/>
          <w:sz w:val="24"/>
          <w:szCs w:val="24"/>
        </w:rPr>
        <w:t>20.1.2 dar causa à inexecução parcial do contrato que cause grave dano à Administração, ao funcionamento dos serviços públicos ou ao interesse coletivo;</w:t>
      </w:r>
    </w:p>
    <w:p w14:paraId="5C3424AE">
      <w:pPr>
        <w:spacing w:line="288" w:lineRule="auto"/>
        <w:contextualSpacing/>
        <w:jc w:val="both"/>
        <w:rPr>
          <w:color w:val="000000"/>
          <w:sz w:val="24"/>
          <w:szCs w:val="24"/>
        </w:rPr>
      </w:pPr>
    </w:p>
    <w:p w14:paraId="577015A8">
      <w:pPr>
        <w:spacing w:after="160" w:line="288" w:lineRule="auto"/>
        <w:contextualSpacing/>
        <w:jc w:val="both"/>
        <w:rPr>
          <w:sz w:val="24"/>
          <w:szCs w:val="24"/>
        </w:rPr>
      </w:pPr>
      <w:r>
        <w:rPr>
          <w:color w:val="000000"/>
          <w:sz w:val="24"/>
          <w:szCs w:val="24"/>
        </w:rPr>
        <w:t>20.1.3 dar causa à inexecução total do contrato;</w:t>
      </w:r>
    </w:p>
    <w:p w14:paraId="01FBA94C">
      <w:pPr>
        <w:spacing w:line="288" w:lineRule="auto"/>
        <w:contextualSpacing/>
        <w:jc w:val="both"/>
        <w:rPr>
          <w:color w:val="000000"/>
          <w:sz w:val="24"/>
          <w:szCs w:val="24"/>
        </w:rPr>
      </w:pPr>
    </w:p>
    <w:p w14:paraId="2E9A853A">
      <w:pPr>
        <w:spacing w:line="288" w:lineRule="auto"/>
        <w:contextualSpacing/>
        <w:jc w:val="both"/>
        <w:rPr>
          <w:sz w:val="24"/>
          <w:szCs w:val="24"/>
        </w:rPr>
      </w:pPr>
      <w:r>
        <w:rPr>
          <w:color w:val="000000"/>
          <w:sz w:val="24"/>
          <w:szCs w:val="24"/>
        </w:rPr>
        <w:t xml:space="preserve">20.1.4 deixar de entregar a documentação exigida para o certame ou não entregar qualquer documento que tenha sido solicitado pelo Pregoeiro durante o certame; </w:t>
      </w:r>
    </w:p>
    <w:p w14:paraId="78F5D9E3">
      <w:pPr>
        <w:spacing w:line="288" w:lineRule="auto"/>
        <w:contextualSpacing/>
        <w:jc w:val="both"/>
        <w:rPr>
          <w:color w:val="000000"/>
          <w:sz w:val="24"/>
          <w:szCs w:val="24"/>
        </w:rPr>
      </w:pPr>
    </w:p>
    <w:p w14:paraId="0AB4C5D1">
      <w:pPr>
        <w:spacing w:line="288" w:lineRule="auto"/>
        <w:contextualSpacing/>
        <w:jc w:val="both"/>
        <w:rPr>
          <w:color w:val="000000"/>
          <w:sz w:val="24"/>
          <w:szCs w:val="24"/>
        </w:rPr>
      </w:pPr>
      <w:r>
        <w:rPr>
          <w:color w:val="000000"/>
          <w:sz w:val="24"/>
          <w:szCs w:val="24"/>
        </w:rPr>
        <w:t>20.1.5 não manter a proposta, salvo em decorrência de fato superveniente devidamente justificado, em especial quando:</w:t>
      </w:r>
    </w:p>
    <w:p w14:paraId="54158937">
      <w:pPr>
        <w:pStyle w:val="120"/>
        <w:spacing w:before="288" w:beforeLines="120" w:after="288" w:afterLines="120" w:line="288" w:lineRule="auto"/>
        <w:ind w:left="0"/>
        <w:contextualSpacing/>
        <w:rPr>
          <w:rFonts w:ascii="Times New Roman" w:hAnsi="Times New Roman" w:cs="Times New Roman"/>
          <w:sz w:val="24"/>
          <w:szCs w:val="24"/>
        </w:rPr>
      </w:pPr>
      <w:r>
        <w:rPr>
          <w:rFonts w:ascii="Times New Roman" w:hAnsi="Times New Roman" w:cs="Times New Roman"/>
          <w:color w:val="000000"/>
          <w:sz w:val="24"/>
          <w:szCs w:val="24"/>
        </w:rPr>
        <w:t>20</w:t>
      </w:r>
      <w:r>
        <w:rPr>
          <w:rFonts w:ascii="Times New Roman" w:hAnsi="Times New Roman" w:cs="Times New Roman"/>
          <w:sz w:val="24"/>
          <w:szCs w:val="24"/>
        </w:rPr>
        <w:t xml:space="preserve">.1.5.1 não enviar a proposta adequada ao último lance ofertado ou após a negociação; </w:t>
      </w:r>
    </w:p>
    <w:p w14:paraId="593DD5DA">
      <w:pPr>
        <w:pStyle w:val="120"/>
        <w:spacing w:before="288" w:beforeLines="120" w:after="288" w:afterLines="120" w:line="288" w:lineRule="auto"/>
        <w:ind w:left="0"/>
        <w:contextualSpacing/>
        <w:rPr>
          <w:rFonts w:ascii="Times New Roman" w:hAnsi="Times New Roman" w:cs="Times New Roman"/>
          <w:sz w:val="24"/>
          <w:szCs w:val="24"/>
        </w:rPr>
      </w:pPr>
    </w:p>
    <w:p w14:paraId="3441E1FD">
      <w:pPr>
        <w:pStyle w:val="120"/>
        <w:spacing w:before="288" w:beforeLines="120" w:after="288" w:afterLines="120" w:line="288" w:lineRule="auto"/>
        <w:ind w:left="0"/>
        <w:contextualSpacing/>
        <w:rPr>
          <w:rFonts w:ascii="Times New Roman" w:hAnsi="Times New Roman" w:cs="Times New Roman"/>
          <w:sz w:val="24"/>
          <w:szCs w:val="24"/>
        </w:rPr>
      </w:pPr>
      <w:r>
        <w:rPr>
          <w:rFonts w:ascii="Times New Roman" w:hAnsi="Times New Roman" w:cs="Times New Roman"/>
          <w:color w:val="000000"/>
          <w:sz w:val="24"/>
          <w:szCs w:val="24"/>
        </w:rPr>
        <w:t>20</w:t>
      </w:r>
      <w:r>
        <w:rPr>
          <w:rFonts w:ascii="Times New Roman" w:hAnsi="Times New Roman" w:cs="Times New Roman"/>
          <w:sz w:val="24"/>
          <w:szCs w:val="24"/>
        </w:rPr>
        <w:t xml:space="preserve">.1.5.2 recusar-se a enviar o detalhamento da proposta quando exigível; </w:t>
      </w:r>
    </w:p>
    <w:p w14:paraId="5E877FEC">
      <w:pPr>
        <w:pStyle w:val="120"/>
        <w:spacing w:before="288" w:beforeLines="120" w:after="288" w:afterLines="120" w:line="288" w:lineRule="auto"/>
        <w:ind w:left="0"/>
        <w:contextualSpacing/>
        <w:rPr>
          <w:rFonts w:ascii="Times New Roman" w:hAnsi="Times New Roman" w:cs="Times New Roman"/>
          <w:sz w:val="24"/>
          <w:szCs w:val="24"/>
        </w:rPr>
      </w:pPr>
    </w:p>
    <w:p w14:paraId="0F4378D9">
      <w:pPr>
        <w:pStyle w:val="120"/>
        <w:spacing w:before="288" w:beforeLines="120" w:after="288" w:afterLines="120" w:line="288" w:lineRule="auto"/>
        <w:ind w:left="0"/>
        <w:contextualSpacing/>
        <w:rPr>
          <w:rFonts w:ascii="Times New Roman" w:hAnsi="Times New Roman" w:cs="Times New Roman"/>
          <w:sz w:val="24"/>
          <w:szCs w:val="24"/>
        </w:rPr>
      </w:pPr>
      <w:r>
        <w:rPr>
          <w:rFonts w:ascii="Times New Roman" w:hAnsi="Times New Roman" w:cs="Times New Roman"/>
          <w:sz w:val="24"/>
          <w:szCs w:val="24"/>
        </w:rPr>
        <w:t xml:space="preserve">20.1.5.3 pedir para ser desclassificado quando encerrada a etapa competitiva; </w:t>
      </w:r>
    </w:p>
    <w:p w14:paraId="2A7FD6D4">
      <w:pPr>
        <w:pStyle w:val="120"/>
        <w:spacing w:before="288" w:beforeLines="120" w:after="288" w:afterLines="120" w:line="288" w:lineRule="auto"/>
        <w:ind w:left="0"/>
        <w:contextualSpacing/>
        <w:rPr>
          <w:rFonts w:ascii="Times New Roman" w:hAnsi="Times New Roman" w:cs="Times New Roman"/>
          <w:sz w:val="24"/>
          <w:szCs w:val="24"/>
        </w:rPr>
      </w:pPr>
    </w:p>
    <w:p w14:paraId="05614D20">
      <w:pPr>
        <w:pStyle w:val="120"/>
        <w:spacing w:before="288" w:beforeLines="120" w:after="288" w:afterLines="120" w:line="288" w:lineRule="auto"/>
        <w:ind w:left="0"/>
        <w:contextualSpacing/>
        <w:rPr>
          <w:rFonts w:ascii="Times New Roman" w:hAnsi="Times New Roman" w:cs="Times New Roman"/>
          <w:sz w:val="24"/>
          <w:szCs w:val="24"/>
        </w:rPr>
      </w:pPr>
      <w:r>
        <w:rPr>
          <w:rFonts w:ascii="Times New Roman" w:hAnsi="Times New Roman" w:cs="Times New Roman"/>
          <w:sz w:val="24"/>
          <w:szCs w:val="24"/>
        </w:rPr>
        <w:t>20.1.5.4 deixar de apresentar amostra; ou</w:t>
      </w:r>
    </w:p>
    <w:p w14:paraId="00D86A65">
      <w:pPr>
        <w:pStyle w:val="120"/>
        <w:spacing w:before="288" w:beforeLines="120" w:after="288" w:afterLines="120" w:line="288" w:lineRule="auto"/>
        <w:ind w:left="0"/>
        <w:contextualSpacing/>
        <w:rPr>
          <w:rFonts w:ascii="Times New Roman" w:hAnsi="Times New Roman" w:cs="Times New Roman"/>
          <w:sz w:val="24"/>
          <w:szCs w:val="24"/>
        </w:rPr>
      </w:pPr>
    </w:p>
    <w:p w14:paraId="097646CA">
      <w:pPr>
        <w:pStyle w:val="120"/>
        <w:spacing w:before="288" w:beforeLines="120" w:after="288" w:afterLines="120" w:line="288" w:lineRule="auto"/>
        <w:ind w:left="0"/>
        <w:contextualSpacing/>
        <w:rPr>
          <w:rFonts w:ascii="Times New Roman" w:hAnsi="Times New Roman" w:cs="Times New Roman"/>
          <w:sz w:val="24"/>
          <w:szCs w:val="24"/>
        </w:rPr>
      </w:pPr>
      <w:r>
        <w:rPr>
          <w:rFonts w:ascii="Times New Roman" w:hAnsi="Times New Roman" w:cs="Times New Roman"/>
          <w:sz w:val="24"/>
          <w:szCs w:val="24"/>
        </w:rPr>
        <w:t xml:space="preserve">20.1.5.5 apresentar proposta ou amostra em desacordo com as especificações do instrumento convocatório; </w:t>
      </w:r>
    </w:p>
    <w:p w14:paraId="1986594D">
      <w:pPr>
        <w:spacing w:line="288" w:lineRule="auto"/>
        <w:contextualSpacing/>
        <w:jc w:val="both"/>
        <w:rPr>
          <w:color w:val="000000"/>
          <w:sz w:val="24"/>
          <w:szCs w:val="24"/>
        </w:rPr>
      </w:pPr>
      <w:r>
        <w:rPr>
          <w:color w:val="000000"/>
          <w:sz w:val="24"/>
          <w:szCs w:val="24"/>
        </w:rPr>
        <w:t>20.1.6 não celebrar o contrato ou não entregar a documentação exigida para a contratação, quando convocado dentro do prazo de validade de sua proposta;</w:t>
      </w:r>
    </w:p>
    <w:p w14:paraId="521C9A81">
      <w:pPr>
        <w:pStyle w:val="120"/>
        <w:spacing w:before="288" w:beforeLines="120" w:after="288" w:afterLines="120" w:line="288" w:lineRule="auto"/>
        <w:ind w:left="0"/>
        <w:contextualSpacing/>
        <w:rPr>
          <w:rFonts w:ascii="Times New Roman" w:hAnsi="Times New Roman" w:cs="Times New Roman"/>
          <w:sz w:val="24"/>
          <w:szCs w:val="24"/>
        </w:rPr>
      </w:pPr>
      <w:r>
        <w:rPr>
          <w:rFonts w:ascii="Times New Roman" w:hAnsi="Times New Roman" w:cs="Times New Roman"/>
          <w:sz w:val="24"/>
          <w:szCs w:val="24"/>
        </w:rPr>
        <w:t>20.1.6.1 recusar-se, sem justificativa, a assinar o contrato ou a ata de registro de preço, ou a aceitar ou retirar o instrumento equivalente no prazo estabelecido pela Administração;</w:t>
      </w:r>
    </w:p>
    <w:p w14:paraId="2E60198C">
      <w:pPr>
        <w:spacing w:line="288" w:lineRule="auto"/>
        <w:contextualSpacing/>
        <w:jc w:val="both"/>
        <w:rPr>
          <w:color w:val="000000"/>
          <w:sz w:val="24"/>
          <w:szCs w:val="24"/>
        </w:rPr>
      </w:pPr>
      <w:r>
        <w:rPr>
          <w:color w:val="000000"/>
          <w:sz w:val="24"/>
          <w:szCs w:val="24"/>
        </w:rPr>
        <w:t>20.1.7 ensejar o retardamento da execução ou da entrega do objeto da contratação sem motivo justificado;</w:t>
      </w:r>
    </w:p>
    <w:p w14:paraId="37C0E760">
      <w:pPr>
        <w:spacing w:line="288" w:lineRule="auto"/>
        <w:contextualSpacing/>
        <w:jc w:val="both"/>
        <w:rPr>
          <w:color w:val="000000"/>
          <w:sz w:val="24"/>
          <w:szCs w:val="24"/>
        </w:rPr>
      </w:pPr>
    </w:p>
    <w:p w14:paraId="7E792DB4">
      <w:pPr>
        <w:spacing w:line="288" w:lineRule="auto"/>
        <w:contextualSpacing/>
        <w:jc w:val="both"/>
        <w:rPr>
          <w:color w:val="000000"/>
          <w:sz w:val="24"/>
          <w:szCs w:val="24"/>
        </w:rPr>
      </w:pPr>
      <w:r>
        <w:rPr>
          <w:color w:val="000000"/>
          <w:sz w:val="24"/>
          <w:szCs w:val="24"/>
        </w:rPr>
        <w:t>20.1.8 apresentar declaração ou documentação falsa exigida para o certame ou prestar declaração falsa durante o certame ou a execução do contrato;</w:t>
      </w:r>
    </w:p>
    <w:p w14:paraId="09DB5ECF">
      <w:pPr>
        <w:spacing w:line="288" w:lineRule="auto"/>
        <w:contextualSpacing/>
        <w:jc w:val="both"/>
        <w:rPr>
          <w:rFonts w:eastAsia="Arial"/>
          <w:color w:val="000000"/>
          <w:sz w:val="24"/>
          <w:szCs w:val="24"/>
        </w:rPr>
      </w:pPr>
    </w:p>
    <w:p w14:paraId="3FD0EDF6">
      <w:pPr>
        <w:spacing w:line="288" w:lineRule="auto"/>
        <w:contextualSpacing/>
        <w:jc w:val="both"/>
        <w:rPr>
          <w:color w:val="000000"/>
          <w:sz w:val="24"/>
          <w:szCs w:val="24"/>
        </w:rPr>
      </w:pPr>
      <w:r>
        <w:rPr>
          <w:color w:val="000000"/>
          <w:sz w:val="24"/>
          <w:szCs w:val="24"/>
        </w:rPr>
        <w:t>20.1.9 fraudar o certame ou praticar ato fraudulento na execução do contrato;</w:t>
      </w:r>
    </w:p>
    <w:p w14:paraId="4D45CA23">
      <w:pPr>
        <w:spacing w:line="288" w:lineRule="auto"/>
        <w:contextualSpacing/>
        <w:jc w:val="both"/>
        <w:rPr>
          <w:color w:val="000000"/>
          <w:sz w:val="24"/>
          <w:szCs w:val="24"/>
        </w:rPr>
      </w:pPr>
      <w:r>
        <w:rPr>
          <w:color w:val="000000"/>
          <w:sz w:val="24"/>
          <w:szCs w:val="24"/>
        </w:rPr>
        <w:t> </w:t>
      </w:r>
    </w:p>
    <w:p w14:paraId="09687D68">
      <w:pPr>
        <w:spacing w:line="288" w:lineRule="auto"/>
        <w:contextualSpacing/>
        <w:jc w:val="both"/>
        <w:rPr>
          <w:color w:val="000000"/>
          <w:sz w:val="24"/>
          <w:szCs w:val="24"/>
        </w:rPr>
      </w:pPr>
      <w:r>
        <w:rPr>
          <w:color w:val="000000"/>
          <w:sz w:val="24"/>
          <w:szCs w:val="24"/>
        </w:rPr>
        <w:t>20.1.10 comportar-se de modo inidôneo ou cometer fraude de qualquer natureza, em especial quando:</w:t>
      </w:r>
    </w:p>
    <w:p w14:paraId="089FA659">
      <w:pPr>
        <w:pStyle w:val="120"/>
        <w:spacing w:before="288" w:beforeLines="120" w:after="288" w:afterLines="120" w:line="288" w:lineRule="auto"/>
        <w:ind w:left="0"/>
        <w:contextualSpacing/>
        <w:rPr>
          <w:rFonts w:ascii="Times New Roman" w:hAnsi="Times New Roman" w:cs="Times New Roman"/>
          <w:sz w:val="24"/>
          <w:szCs w:val="24"/>
        </w:rPr>
      </w:pPr>
      <w:r>
        <w:rPr>
          <w:rFonts w:ascii="Times New Roman" w:hAnsi="Times New Roman" w:cs="Times New Roman"/>
          <w:sz w:val="24"/>
          <w:szCs w:val="24"/>
        </w:rPr>
        <w:t xml:space="preserve">20.1.10.1 agir em conluio ou em desconformidade com a lei; </w:t>
      </w:r>
    </w:p>
    <w:p w14:paraId="6FBD5435">
      <w:pPr>
        <w:pStyle w:val="120"/>
        <w:spacing w:before="288" w:beforeLines="120" w:after="288" w:afterLines="120" w:line="288" w:lineRule="auto"/>
        <w:ind w:left="0"/>
        <w:contextualSpacing/>
        <w:rPr>
          <w:rFonts w:ascii="Times New Roman" w:hAnsi="Times New Roman" w:cs="Times New Roman"/>
          <w:sz w:val="24"/>
          <w:szCs w:val="24"/>
        </w:rPr>
      </w:pPr>
    </w:p>
    <w:p w14:paraId="4D547814">
      <w:pPr>
        <w:pStyle w:val="120"/>
        <w:spacing w:before="288" w:beforeLines="120" w:after="288" w:afterLines="120" w:line="288" w:lineRule="auto"/>
        <w:ind w:left="0"/>
        <w:contextualSpacing/>
        <w:rPr>
          <w:rFonts w:ascii="Times New Roman" w:hAnsi="Times New Roman" w:cs="Times New Roman"/>
          <w:sz w:val="24"/>
          <w:szCs w:val="24"/>
        </w:rPr>
      </w:pPr>
      <w:r>
        <w:rPr>
          <w:rFonts w:ascii="Times New Roman" w:hAnsi="Times New Roman" w:cs="Times New Roman"/>
          <w:sz w:val="24"/>
          <w:szCs w:val="24"/>
        </w:rPr>
        <w:t xml:space="preserve">20.1.10.2 induzir deliberadamente a erro no julgamento; </w:t>
      </w:r>
    </w:p>
    <w:p w14:paraId="3C8F76CD">
      <w:pPr>
        <w:pStyle w:val="120"/>
        <w:spacing w:before="288" w:beforeLines="120" w:after="288" w:afterLines="120" w:line="288" w:lineRule="auto"/>
        <w:ind w:left="0"/>
        <w:contextualSpacing/>
        <w:rPr>
          <w:rFonts w:ascii="Times New Roman" w:hAnsi="Times New Roman" w:cs="Times New Roman"/>
          <w:sz w:val="24"/>
          <w:szCs w:val="24"/>
        </w:rPr>
      </w:pPr>
    </w:p>
    <w:p w14:paraId="66CD60A6">
      <w:pPr>
        <w:pStyle w:val="120"/>
        <w:spacing w:before="288" w:beforeLines="120" w:after="288" w:afterLines="120" w:line="288" w:lineRule="auto"/>
        <w:ind w:left="0"/>
        <w:contextualSpacing/>
        <w:rPr>
          <w:rFonts w:ascii="Times New Roman" w:hAnsi="Times New Roman" w:cs="Times New Roman"/>
          <w:sz w:val="24"/>
          <w:szCs w:val="24"/>
        </w:rPr>
      </w:pPr>
      <w:r>
        <w:rPr>
          <w:rFonts w:ascii="Times New Roman" w:hAnsi="Times New Roman" w:cs="Times New Roman"/>
          <w:sz w:val="24"/>
          <w:szCs w:val="24"/>
        </w:rPr>
        <w:t xml:space="preserve">20.1.10.3 apresentar amostra falsificada ou deteriorada; </w:t>
      </w:r>
    </w:p>
    <w:p w14:paraId="7001B9C3">
      <w:pPr>
        <w:pStyle w:val="120"/>
        <w:spacing w:before="288" w:beforeLines="120" w:after="288" w:afterLines="120" w:line="288" w:lineRule="auto"/>
        <w:ind w:left="0"/>
        <w:contextualSpacing/>
        <w:rPr>
          <w:rFonts w:ascii="Times New Roman" w:hAnsi="Times New Roman" w:cs="Times New Roman"/>
          <w:sz w:val="24"/>
          <w:szCs w:val="24"/>
        </w:rPr>
      </w:pPr>
    </w:p>
    <w:p w14:paraId="0D40588B">
      <w:pPr>
        <w:pStyle w:val="120"/>
        <w:spacing w:before="288" w:beforeLines="120" w:after="288" w:afterLines="120" w:line="288" w:lineRule="auto"/>
        <w:ind w:left="0"/>
        <w:contextualSpacing/>
        <w:rPr>
          <w:rFonts w:ascii="Times New Roman" w:hAnsi="Times New Roman" w:cs="Times New Roman"/>
          <w:sz w:val="24"/>
          <w:szCs w:val="24"/>
        </w:rPr>
      </w:pPr>
      <w:r>
        <w:rPr>
          <w:rFonts w:ascii="Times New Roman" w:hAnsi="Times New Roman" w:cs="Times New Roman"/>
          <w:sz w:val="24"/>
          <w:szCs w:val="24"/>
        </w:rPr>
        <w:t xml:space="preserve">20.1.10.4 apresentar declaração falsa quanto às condições de participação ou quanto ao enquadramento como ME/EPP; </w:t>
      </w:r>
    </w:p>
    <w:p w14:paraId="789172C8">
      <w:pPr>
        <w:spacing w:line="288" w:lineRule="auto"/>
        <w:contextualSpacing/>
        <w:jc w:val="both"/>
        <w:rPr>
          <w:color w:val="000000"/>
          <w:sz w:val="24"/>
          <w:szCs w:val="24"/>
        </w:rPr>
      </w:pPr>
      <w:r>
        <w:rPr>
          <w:sz w:val="24"/>
          <w:szCs w:val="24"/>
        </w:rPr>
        <w:t>20</w:t>
      </w:r>
      <w:r>
        <w:rPr>
          <w:color w:val="000000"/>
          <w:sz w:val="24"/>
          <w:szCs w:val="24"/>
        </w:rPr>
        <w:t>.1.11 praticar atos ilícitos com vistas a frustrar os objetivos do certame;</w:t>
      </w:r>
    </w:p>
    <w:p w14:paraId="7EED5BE3">
      <w:pPr>
        <w:spacing w:line="288" w:lineRule="auto"/>
        <w:contextualSpacing/>
        <w:jc w:val="both"/>
        <w:rPr>
          <w:color w:val="000000"/>
          <w:sz w:val="24"/>
          <w:szCs w:val="24"/>
        </w:rPr>
      </w:pPr>
    </w:p>
    <w:p w14:paraId="72EB0FC5">
      <w:pPr>
        <w:spacing w:line="288" w:lineRule="auto"/>
        <w:contextualSpacing/>
        <w:jc w:val="both"/>
        <w:rPr>
          <w:rStyle w:val="16"/>
          <w:rFonts w:eastAsiaTheme="minorHAnsi"/>
          <w:color w:val="000000"/>
          <w:sz w:val="24"/>
          <w:szCs w:val="24"/>
        </w:rPr>
      </w:pPr>
      <w:r>
        <w:rPr>
          <w:sz w:val="24"/>
          <w:szCs w:val="24"/>
        </w:rPr>
        <w:t>20</w:t>
      </w:r>
      <w:r>
        <w:rPr>
          <w:color w:val="000000"/>
          <w:sz w:val="24"/>
          <w:szCs w:val="24"/>
        </w:rPr>
        <w:t>.1.12 praticar ato lesivo previsto no </w:t>
      </w:r>
      <w:r>
        <w:fldChar w:fldCharType="begin"/>
      </w:r>
      <w:r>
        <w:instrText xml:space="preserve"> HYPERLINK "http://www.planalto.gov.br/ccivil_03/_Ato2011-2014/2013/Lei/L12846.htm" \l "art5" </w:instrText>
      </w:r>
      <w:r>
        <w:fldChar w:fldCharType="separate"/>
      </w:r>
      <w:r>
        <w:rPr>
          <w:rStyle w:val="16"/>
          <w:rFonts w:eastAsiaTheme="minorHAnsi"/>
          <w:color w:val="000000"/>
          <w:sz w:val="24"/>
          <w:szCs w:val="24"/>
        </w:rPr>
        <w:t>art. 5º da Lei nº 12.846, de 1º de agosto de 2013.</w:t>
      </w:r>
      <w:r>
        <w:rPr>
          <w:rStyle w:val="16"/>
          <w:rFonts w:eastAsiaTheme="minorHAnsi"/>
          <w:color w:val="000000"/>
          <w:sz w:val="24"/>
          <w:szCs w:val="24"/>
        </w:rPr>
        <w:fldChar w:fldCharType="end"/>
      </w:r>
    </w:p>
    <w:p w14:paraId="3EC8DF98">
      <w:pPr>
        <w:spacing w:line="288" w:lineRule="auto"/>
        <w:contextualSpacing/>
        <w:jc w:val="both"/>
        <w:rPr>
          <w:sz w:val="24"/>
          <w:szCs w:val="24"/>
        </w:rPr>
      </w:pPr>
    </w:p>
    <w:p w14:paraId="3B369AC4">
      <w:pPr>
        <w:spacing w:line="288" w:lineRule="auto"/>
        <w:contextualSpacing/>
        <w:jc w:val="both"/>
        <w:rPr>
          <w:sz w:val="24"/>
          <w:szCs w:val="24"/>
        </w:rPr>
      </w:pPr>
      <w:r>
        <w:rPr>
          <w:sz w:val="24"/>
          <w:szCs w:val="24"/>
        </w:rPr>
        <w:t xml:space="preserve">20.2 O licitante ou </w:t>
      </w:r>
      <w:r>
        <w:rPr>
          <w:color w:val="000000"/>
          <w:sz w:val="24"/>
          <w:szCs w:val="24"/>
        </w:rPr>
        <w:t>contratado</w:t>
      </w:r>
      <w:r>
        <w:rPr>
          <w:sz w:val="24"/>
          <w:szCs w:val="24"/>
        </w:rPr>
        <w:t xml:space="preserve"> que cometer qualquer das condutas discriminadas nos subitens anteriores ficará sujeito, sem prejuízo da responsabilidade civil e criminal, às seguintes sanções:</w:t>
      </w:r>
    </w:p>
    <w:p w14:paraId="38DC3529">
      <w:pPr>
        <w:spacing w:line="288" w:lineRule="auto"/>
        <w:contextualSpacing/>
        <w:jc w:val="both"/>
        <w:rPr>
          <w:sz w:val="24"/>
          <w:szCs w:val="24"/>
        </w:rPr>
      </w:pPr>
    </w:p>
    <w:p w14:paraId="72F02535">
      <w:pPr>
        <w:spacing w:line="288" w:lineRule="auto"/>
        <w:contextualSpacing/>
        <w:jc w:val="both"/>
        <w:rPr>
          <w:sz w:val="24"/>
          <w:szCs w:val="24"/>
        </w:rPr>
      </w:pPr>
      <w:r>
        <w:rPr>
          <w:sz w:val="24"/>
          <w:szCs w:val="24"/>
        </w:rPr>
        <w:t>20.2.1 Advertência, prevista no art. 156, I, § 2º, da Lei nº 14.133/2021, pela infração descrita no item 21.1.1, de menor potencial ofensivo, quando não se justificar a imposição de penalidade mais grave.</w:t>
      </w:r>
    </w:p>
    <w:p w14:paraId="01D04EC1">
      <w:pPr>
        <w:spacing w:line="288" w:lineRule="auto"/>
        <w:contextualSpacing/>
        <w:jc w:val="both"/>
        <w:rPr>
          <w:sz w:val="24"/>
          <w:szCs w:val="24"/>
        </w:rPr>
      </w:pPr>
    </w:p>
    <w:p w14:paraId="2F69F631">
      <w:pPr>
        <w:spacing w:line="288" w:lineRule="auto"/>
        <w:contextualSpacing/>
        <w:jc w:val="both"/>
        <w:rPr>
          <w:sz w:val="24"/>
          <w:szCs w:val="24"/>
        </w:rPr>
      </w:pPr>
      <w:r>
        <w:rPr>
          <w:sz w:val="24"/>
          <w:szCs w:val="24"/>
        </w:rPr>
        <w:t xml:space="preserve">20.2.2 Multa administrativa, prevista no art. 156, II, § 3º, da Lei nº 14.133/2021, pela infração dos subitens 20.1.1 a 20.1.12, que não </w:t>
      </w:r>
      <w:r>
        <w:rPr>
          <w:color w:val="000000"/>
          <w:sz w:val="24"/>
          <w:szCs w:val="24"/>
        </w:rPr>
        <w:t>poderá ser inferior a 0,5% (cinco décimos por cento) nem superior a 30% (trinta por cento) do valor do Contrato</w:t>
      </w:r>
      <w:r>
        <w:rPr>
          <w:sz w:val="24"/>
          <w:szCs w:val="24"/>
        </w:rPr>
        <w:t>, devendo ser observados os seguintes parâmetros:</w:t>
      </w:r>
    </w:p>
    <w:p w14:paraId="0F167280">
      <w:pPr>
        <w:spacing w:line="288" w:lineRule="auto"/>
        <w:contextualSpacing/>
        <w:jc w:val="both"/>
        <w:rPr>
          <w:sz w:val="24"/>
          <w:szCs w:val="24"/>
        </w:rPr>
      </w:pPr>
      <w:r>
        <w:rPr>
          <w:sz w:val="24"/>
          <w:szCs w:val="24"/>
        </w:rPr>
        <w:t xml:space="preserve">a) multa de 0,5% a 1,5%, nos casos da infração prevista no subitem </w:t>
      </w:r>
      <w:r>
        <w:rPr>
          <w:color w:val="000000"/>
          <w:sz w:val="24"/>
          <w:szCs w:val="24"/>
        </w:rPr>
        <w:t>20</w:t>
      </w:r>
      <w:r>
        <w:rPr>
          <w:sz w:val="24"/>
          <w:szCs w:val="24"/>
        </w:rPr>
        <w:t xml:space="preserve">.1.1, incidente sobre o valor anual do Contrato; </w:t>
      </w:r>
    </w:p>
    <w:p w14:paraId="6B33418F">
      <w:pPr>
        <w:spacing w:line="288" w:lineRule="auto"/>
        <w:contextualSpacing/>
        <w:jc w:val="both"/>
        <w:rPr>
          <w:sz w:val="24"/>
          <w:szCs w:val="24"/>
        </w:rPr>
      </w:pPr>
      <w:r>
        <w:rPr>
          <w:sz w:val="24"/>
          <w:szCs w:val="24"/>
        </w:rPr>
        <w:t>b) multa de 0,5% a 15%, nos casos das infrações previstas nos subitens 20.1.2 a 20.1.7, incidente sobre o valor anual do Contrato;</w:t>
      </w:r>
    </w:p>
    <w:p w14:paraId="2866F978">
      <w:pPr>
        <w:spacing w:line="288" w:lineRule="auto"/>
        <w:contextualSpacing/>
        <w:jc w:val="both"/>
        <w:rPr>
          <w:sz w:val="24"/>
          <w:szCs w:val="24"/>
        </w:rPr>
      </w:pPr>
      <w:r>
        <w:rPr>
          <w:sz w:val="24"/>
          <w:szCs w:val="24"/>
        </w:rPr>
        <w:t>c) multa de 5% a 30%, nos casos das infrações previstas nos subitens 20.1.8 a 20.1.12, incidente sobre o valor anual do Contrato;</w:t>
      </w:r>
    </w:p>
    <w:p w14:paraId="117D4770">
      <w:pPr>
        <w:pStyle w:val="24"/>
        <w:spacing w:before="225" w:line="288" w:lineRule="auto"/>
        <w:contextualSpacing/>
        <w:jc w:val="both"/>
        <w:rPr>
          <w:color w:val="000000"/>
        </w:rPr>
      </w:pPr>
      <w:r>
        <w:t>20.2.2.1 Na hipótese de a infração ser cometida antes da celebração do Contrato, a base de cálculo da multa do item 20.2.2 será o valor anual estimado da contratação.</w:t>
      </w:r>
    </w:p>
    <w:p w14:paraId="0E2A5B2C">
      <w:pPr>
        <w:spacing w:line="288" w:lineRule="auto"/>
        <w:contextualSpacing/>
        <w:jc w:val="both"/>
        <w:rPr>
          <w:sz w:val="24"/>
          <w:szCs w:val="24"/>
        </w:rPr>
      </w:pPr>
      <w:r>
        <w:rPr>
          <w:sz w:val="24"/>
          <w:szCs w:val="24"/>
        </w:rPr>
        <w:t>20.2.2.2 Em caso de reincidência, o valor total das multas administrativas aplicadas não poderá exceder o limite de 30% (trinta por cento) sobre o valor total do Contrato.</w:t>
      </w:r>
    </w:p>
    <w:p w14:paraId="09F86567">
      <w:pPr>
        <w:spacing w:line="288" w:lineRule="auto"/>
        <w:contextualSpacing/>
        <w:jc w:val="both"/>
        <w:rPr>
          <w:sz w:val="24"/>
          <w:szCs w:val="24"/>
        </w:rPr>
      </w:pPr>
    </w:p>
    <w:p w14:paraId="1956DFA9">
      <w:pPr>
        <w:spacing w:line="288" w:lineRule="auto"/>
        <w:contextualSpacing/>
        <w:jc w:val="both"/>
        <w:rPr>
          <w:sz w:val="24"/>
          <w:szCs w:val="24"/>
        </w:rPr>
      </w:pPr>
      <w:r>
        <w:rPr>
          <w:sz w:val="24"/>
          <w:szCs w:val="24"/>
        </w:rPr>
        <w:t xml:space="preserve">20.2.2.3 Se a multa aplicada e as indenizações cabíveis forem superiores ao valor de pagamento eventualmente devido pela Administração ao </w:t>
      </w:r>
      <w:r>
        <w:rPr>
          <w:color w:val="000000"/>
          <w:sz w:val="24"/>
          <w:szCs w:val="24"/>
        </w:rPr>
        <w:t>contratado</w:t>
      </w:r>
      <w:r>
        <w:rPr>
          <w:sz w:val="24"/>
          <w:szCs w:val="24"/>
        </w:rPr>
        <w:t>, além da perda desse valor, a diferença será descontada da garantia prestada ou será cobrada judicialmente, na forma do art. 156, § 8º, da Lei nº 14.133/2021, e conforme o procedimento previsto no item 20.13.</w:t>
      </w:r>
    </w:p>
    <w:p w14:paraId="34CF158F">
      <w:pPr>
        <w:spacing w:line="288" w:lineRule="auto"/>
        <w:contextualSpacing/>
        <w:jc w:val="both"/>
        <w:rPr>
          <w:sz w:val="24"/>
          <w:szCs w:val="24"/>
        </w:rPr>
      </w:pPr>
    </w:p>
    <w:p w14:paraId="077AED83">
      <w:pPr>
        <w:spacing w:line="288" w:lineRule="auto"/>
        <w:contextualSpacing/>
        <w:jc w:val="both"/>
        <w:rPr>
          <w:sz w:val="24"/>
          <w:szCs w:val="24"/>
        </w:rPr>
      </w:pPr>
      <w:r>
        <w:rPr>
          <w:sz w:val="24"/>
          <w:szCs w:val="24"/>
        </w:rPr>
        <w:t>20.2.2.4 A penalidade de multa pode ser aplicada cumulativamente com as demais sanções, na forma do art. 156, § 7º, da Lei nº 14.133/2021.</w:t>
      </w:r>
    </w:p>
    <w:p w14:paraId="11F676E9">
      <w:pPr>
        <w:spacing w:line="288" w:lineRule="auto"/>
        <w:contextualSpacing/>
        <w:jc w:val="both"/>
        <w:rPr>
          <w:sz w:val="24"/>
          <w:szCs w:val="24"/>
        </w:rPr>
      </w:pPr>
    </w:p>
    <w:p w14:paraId="373C8497">
      <w:pPr>
        <w:spacing w:line="288" w:lineRule="auto"/>
        <w:contextualSpacing/>
        <w:jc w:val="both"/>
        <w:rPr>
          <w:color w:val="000000"/>
          <w:sz w:val="24"/>
          <w:szCs w:val="24"/>
        </w:rPr>
      </w:pPr>
      <w:r>
        <w:rPr>
          <w:sz w:val="24"/>
          <w:szCs w:val="24"/>
        </w:rPr>
        <w:t>20</w:t>
      </w:r>
      <w:r>
        <w:rPr>
          <w:color w:val="000000"/>
          <w:sz w:val="24"/>
          <w:szCs w:val="24"/>
        </w:rPr>
        <w:t xml:space="preserve">.2.3 Impedimento de licitar e contratar, prevista no </w:t>
      </w:r>
      <w:r>
        <w:rPr>
          <w:sz w:val="24"/>
          <w:szCs w:val="24"/>
        </w:rPr>
        <w:t xml:space="preserve">art. 156, III, § 4º, da Lei nº 14.133/2021, </w:t>
      </w:r>
      <w:r>
        <w:rPr>
          <w:color w:val="000000"/>
          <w:sz w:val="24"/>
          <w:szCs w:val="24"/>
        </w:rPr>
        <w:t xml:space="preserve">nos casos relacionados nos subitens </w:t>
      </w:r>
      <w:r>
        <w:rPr>
          <w:sz w:val="24"/>
          <w:szCs w:val="24"/>
        </w:rPr>
        <w:t>20</w:t>
      </w:r>
      <w:r>
        <w:rPr>
          <w:color w:val="000000"/>
          <w:sz w:val="24"/>
          <w:szCs w:val="24"/>
        </w:rPr>
        <w:t>.1.2 a 20.1.7, quando não se justificar a imposição de penalidade mais grave, e impedirá o responsável de licitar ou contratar no âmbito da Administração Pública direta e indireta do Estado, pelo prazo máximo de 3 (três) anos;</w:t>
      </w:r>
    </w:p>
    <w:p w14:paraId="27B75452">
      <w:pPr>
        <w:spacing w:line="288" w:lineRule="auto"/>
        <w:contextualSpacing/>
        <w:jc w:val="both"/>
        <w:rPr>
          <w:rFonts w:eastAsia="Arial"/>
          <w:color w:val="000000"/>
          <w:sz w:val="24"/>
          <w:szCs w:val="24"/>
        </w:rPr>
      </w:pPr>
    </w:p>
    <w:p w14:paraId="3F2AA1DC">
      <w:pPr>
        <w:spacing w:line="288" w:lineRule="auto"/>
        <w:contextualSpacing/>
        <w:jc w:val="both"/>
        <w:rPr>
          <w:sz w:val="24"/>
          <w:szCs w:val="24"/>
        </w:rPr>
      </w:pPr>
      <w:r>
        <w:rPr>
          <w:sz w:val="24"/>
          <w:szCs w:val="24"/>
        </w:rPr>
        <w:t>20</w:t>
      </w:r>
      <w:r>
        <w:rPr>
          <w:color w:val="000000"/>
          <w:sz w:val="24"/>
          <w:szCs w:val="24"/>
        </w:rPr>
        <w:t>.2.4 Declaração de inidoneidade para licitar ou contratar, prevista no a</w:t>
      </w:r>
      <w:r>
        <w:rPr>
          <w:rStyle w:val="118"/>
          <w:rFonts w:ascii="Times New Roman" w:hAnsi="Times New Roman" w:eastAsia="Calibri" w:cs="Times New Roman"/>
        </w:rPr>
        <w:t xml:space="preserve">rt. 156, IV, § 5º, da Lei nº 14.133/2021, </w:t>
      </w:r>
      <w:r>
        <w:rPr>
          <w:color w:val="000000"/>
          <w:sz w:val="24"/>
          <w:szCs w:val="24"/>
        </w:rPr>
        <w:t>nos casos relacionados nos subitens 20.1.8 a 20.1.12, bem como nos demais casos que justifiquem a imposição da penalidade mais grave, que impedirá o responsável de licitar ou contratar no âmbito da Administração Pública direta e indireta de todos os entes federativos, pelo prazo mínimo de 3 (três) anos e máximo de 6 (seis) anos</w:t>
      </w:r>
      <w:r>
        <w:rPr>
          <w:sz w:val="24"/>
          <w:szCs w:val="24"/>
        </w:rPr>
        <w:t>.</w:t>
      </w:r>
    </w:p>
    <w:p w14:paraId="6190471E">
      <w:pPr>
        <w:spacing w:line="288" w:lineRule="auto"/>
        <w:contextualSpacing/>
        <w:jc w:val="both"/>
        <w:rPr>
          <w:sz w:val="24"/>
          <w:szCs w:val="24"/>
        </w:rPr>
      </w:pPr>
    </w:p>
    <w:p w14:paraId="77052DB3">
      <w:pPr>
        <w:spacing w:line="288" w:lineRule="auto"/>
        <w:contextualSpacing/>
        <w:jc w:val="both"/>
        <w:rPr>
          <w:sz w:val="24"/>
          <w:szCs w:val="24"/>
        </w:rPr>
      </w:pPr>
      <w:r>
        <w:rPr>
          <w:sz w:val="24"/>
          <w:szCs w:val="24"/>
        </w:rPr>
        <w:t>20.3 Sem prejuízo da multa administrativa prevista no art. 156, II, § 3º, da Lei nº 14.133/2021, o atraso injustificado no cumprimento das obrigações contratuais sujeitará o  contratado, independente de notificação, na forma do art. 408 do Código Civil, à multa de mora no percentual de 1% (um por cento) por dia útil que exceder o prazo estipulado, a incidir sobre o valor da nota de empenho ou do saldo não atendido,  respeitado o limite de 30% (trinta por cento) do valor do Contrato.</w:t>
      </w:r>
    </w:p>
    <w:p w14:paraId="1CB72A22">
      <w:pPr>
        <w:spacing w:line="288" w:lineRule="auto"/>
        <w:contextualSpacing/>
        <w:jc w:val="both"/>
        <w:rPr>
          <w:sz w:val="24"/>
          <w:szCs w:val="24"/>
        </w:rPr>
      </w:pPr>
    </w:p>
    <w:p w14:paraId="39D828CD">
      <w:pPr>
        <w:spacing w:line="288" w:lineRule="auto"/>
        <w:contextualSpacing/>
        <w:jc w:val="both"/>
        <w:rPr>
          <w:sz w:val="24"/>
          <w:szCs w:val="24"/>
        </w:rPr>
      </w:pPr>
      <w:r>
        <w:rPr>
          <w:sz w:val="24"/>
          <w:szCs w:val="24"/>
        </w:rPr>
        <w:t>20.3.1 Em caso de atraso injustificado para apresentação, suplementação ou reposição da garantia, a multa de mora será de 0,07% (sete centésimos por cento) sobre o valor total do Contrato por dia útil que exceder o prazo estipulado até o máximo de 2% (dois por cento).</w:t>
      </w:r>
    </w:p>
    <w:p w14:paraId="34A22122">
      <w:pPr>
        <w:spacing w:line="288" w:lineRule="auto"/>
        <w:contextualSpacing/>
        <w:jc w:val="both"/>
        <w:rPr>
          <w:sz w:val="24"/>
          <w:szCs w:val="24"/>
        </w:rPr>
      </w:pPr>
    </w:p>
    <w:p w14:paraId="4ADDD4F7">
      <w:pPr>
        <w:spacing w:line="288" w:lineRule="auto"/>
        <w:contextualSpacing/>
        <w:jc w:val="both"/>
        <w:rPr>
          <w:sz w:val="24"/>
          <w:szCs w:val="24"/>
        </w:rPr>
      </w:pPr>
      <w:r>
        <w:rPr>
          <w:sz w:val="24"/>
          <w:szCs w:val="24"/>
        </w:rPr>
        <w:t>20.3.2 O atraso superior a 25 (vinte e cinco) dias no cumprimento da obrigação prevista no item 20.3.1 autoriza a Administração a promover a rescisão contratual por descumprimento ou cumprimento irregular de suas cláusulas.</w:t>
      </w:r>
    </w:p>
    <w:p w14:paraId="3B3FE9BD">
      <w:pPr>
        <w:spacing w:line="288" w:lineRule="auto"/>
        <w:contextualSpacing/>
        <w:jc w:val="both"/>
        <w:rPr>
          <w:sz w:val="24"/>
          <w:szCs w:val="24"/>
        </w:rPr>
      </w:pPr>
    </w:p>
    <w:p w14:paraId="1DF6C19E">
      <w:pPr>
        <w:spacing w:line="288" w:lineRule="auto"/>
        <w:contextualSpacing/>
        <w:jc w:val="both"/>
        <w:rPr>
          <w:sz w:val="24"/>
          <w:szCs w:val="24"/>
        </w:rPr>
      </w:pPr>
      <w:r>
        <w:rPr>
          <w:sz w:val="24"/>
          <w:szCs w:val="24"/>
        </w:rPr>
        <w:t>20.3.3 A aplicação de multa de mora não impedirá que a Administração a converta em compensatória e promova a extinção unilateral do Contrato com a aplicação cumulada de outras sanções previstas no Contrato.</w:t>
      </w:r>
    </w:p>
    <w:p w14:paraId="1E6E8897">
      <w:pPr>
        <w:spacing w:line="288" w:lineRule="auto"/>
        <w:contextualSpacing/>
        <w:jc w:val="both"/>
        <w:rPr>
          <w:sz w:val="24"/>
          <w:szCs w:val="24"/>
        </w:rPr>
      </w:pPr>
    </w:p>
    <w:p w14:paraId="117AD98E">
      <w:pPr>
        <w:spacing w:line="288" w:lineRule="auto"/>
        <w:contextualSpacing/>
        <w:jc w:val="both"/>
        <w:rPr>
          <w:sz w:val="24"/>
          <w:szCs w:val="24"/>
        </w:rPr>
      </w:pPr>
      <w:r>
        <w:rPr>
          <w:sz w:val="24"/>
          <w:szCs w:val="24"/>
        </w:rPr>
        <w:t>20.4 No caso de inexecução total ou parcial do objeto, que acarrete a rescisão do Contrato, será automaticamente devida multa compensatória no valor de 5(cinco)</w:t>
      </w:r>
      <w:r>
        <w:rPr>
          <w:color w:val="FF0000"/>
          <w:sz w:val="24"/>
          <w:szCs w:val="24"/>
        </w:rPr>
        <w:t xml:space="preserve"> </w:t>
      </w:r>
      <w:r>
        <w:rPr>
          <w:sz w:val="24"/>
          <w:szCs w:val="24"/>
        </w:rPr>
        <w:t>% do valor do Contrato.</w:t>
      </w:r>
    </w:p>
    <w:p w14:paraId="30F8E81D">
      <w:pPr>
        <w:spacing w:line="288" w:lineRule="auto"/>
        <w:contextualSpacing/>
        <w:jc w:val="both"/>
        <w:rPr>
          <w:b/>
          <w:bCs/>
          <w:color w:val="FF0000"/>
          <w:sz w:val="24"/>
          <w:szCs w:val="24"/>
        </w:rPr>
      </w:pPr>
    </w:p>
    <w:p w14:paraId="57ED7DF8">
      <w:pPr>
        <w:spacing w:line="288" w:lineRule="auto"/>
        <w:contextualSpacing/>
        <w:jc w:val="both"/>
        <w:rPr>
          <w:sz w:val="24"/>
          <w:szCs w:val="24"/>
        </w:rPr>
      </w:pPr>
      <w:r>
        <w:rPr>
          <w:sz w:val="24"/>
          <w:szCs w:val="24"/>
        </w:rPr>
        <w:t>20.4.1 A multa compensatória, isoladamente aplicada ou quando somada ao valor da multa moratória convertida, não poderá exceder o limite previsto no art. 412 do Código Civil, ou seja, o valor da obrigação principal.</w:t>
      </w:r>
    </w:p>
    <w:p w14:paraId="4D068057">
      <w:pPr>
        <w:spacing w:line="288" w:lineRule="auto"/>
        <w:contextualSpacing/>
        <w:jc w:val="both"/>
        <w:rPr>
          <w:sz w:val="24"/>
          <w:szCs w:val="24"/>
        </w:rPr>
      </w:pPr>
    </w:p>
    <w:p w14:paraId="0D765D01">
      <w:pPr>
        <w:spacing w:line="288" w:lineRule="auto"/>
        <w:contextualSpacing/>
        <w:jc w:val="both"/>
        <w:rPr>
          <w:sz w:val="24"/>
          <w:szCs w:val="24"/>
        </w:rPr>
      </w:pPr>
      <w:r>
        <w:rPr>
          <w:sz w:val="24"/>
          <w:szCs w:val="24"/>
        </w:rPr>
        <w:t xml:space="preserve">20.5 Na aplicação das sanções serão considerados os seguintes requisitos, previstos no art. </w:t>
      </w:r>
      <w:r>
        <w:rPr>
          <w:rStyle w:val="118"/>
          <w:rFonts w:ascii="Times New Roman" w:hAnsi="Times New Roman" w:eastAsia="Calibri" w:cs="Times New Roman"/>
        </w:rPr>
        <w:t>156, § 1º, incisos I a V, da Lei nº 14.133/2021</w:t>
      </w:r>
      <w:r>
        <w:rPr>
          <w:sz w:val="24"/>
          <w:szCs w:val="24"/>
        </w:rPr>
        <w:t>:</w:t>
      </w:r>
    </w:p>
    <w:p w14:paraId="10DAA936">
      <w:pPr>
        <w:spacing w:line="288" w:lineRule="auto"/>
        <w:contextualSpacing/>
        <w:jc w:val="both"/>
        <w:rPr>
          <w:sz w:val="24"/>
          <w:szCs w:val="24"/>
        </w:rPr>
      </w:pPr>
      <w:r>
        <w:rPr>
          <w:sz w:val="24"/>
          <w:szCs w:val="24"/>
        </w:rPr>
        <w:t>20.5.1 a natureza e a gravidade da infração cometida;</w:t>
      </w:r>
    </w:p>
    <w:p w14:paraId="2F9A38C9">
      <w:pPr>
        <w:spacing w:line="288" w:lineRule="auto"/>
        <w:contextualSpacing/>
        <w:jc w:val="both"/>
        <w:rPr>
          <w:sz w:val="24"/>
          <w:szCs w:val="24"/>
        </w:rPr>
      </w:pPr>
      <w:r>
        <w:rPr>
          <w:sz w:val="24"/>
          <w:szCs w:val="24"/>
        </w:rPr>
        <w:t>20.5.2 as peculiaridades do caso concreto;</w:t>
      </w:r>
    </w:p>
    <w:p w14:paraId="4A814B63">
      <w:pPr>
        <w:spacing w:line="288" w:lineRule="auto"/>
        <w:contextualSpacing/>
        <w:jc w:val="both"/>
        <w:rPr>
          <w:sz w:val="24"/>
          <w:szCs w:val="24"/>
        </w:rPr>
      </w:pPr>
      <w:r>
        <w:rPr>
          <w:sz w:val="24"/>
          <w:szCs w:val="24"/>
        </w:rPr>
        <w:t>20.5.3 as circunstâncias agravantes ou atenuantes;</w:t>
      </w:r>
    </w:p>
    <w:p w14:paraId="5D360308">
      <w:pPr>
        <w:spacing w:line="288" w:lineRule="auto"/>
        <w:contextualSpacing/>
        <w:jc w:val="both"/>
        <w:rPr>
          <w:sz w:val="24"/>
          <w:szCs w:val="24"/>
        </w:rPr>
      </w:pPr>
      <w:r>
        <w:rPr>
          <w:sz w:val="24"/>
          <w:szCs w:val="24"/>
        </w:rPr>
        <w:t>20.5.4 os danos que dela provierem para a Administração Pública;</w:t>
      </w:r>
    </w:p>
    <w:p w14:paraId="7C1F4396">
      <w:pPr>
        <w:spacing w:line="288" w:lineRule="auto"/>
        <w:contextualSpacing/>
        <w:jc w:val="both"/>
        <w:rPr>
          <w:sz w:val="24"/>
          <w:szCs w:val="24"/>
        </w:rPr>
      </w:pPr>
      <w:r>
        <w:rPr>
          <w:sz w:val="24"/>
          <w:szCs w:val="24"/>
        </w:rPr>
        <w:t>20.5.5 a implantação ou o aperfeiçoamento de programa de integridade, conforme normas e orientações dos órgãos de controle.</w:t>
      </w:r>
    </w:p>
    <w:p w14:paraId="5670D118">
      <w:pPr>
        <w:spacing w:line="288" w:lineRule="auto"/>
        <w:contextualSpacing/>
        <w:jc w:val="both"/>
        <w:rPr>
          <w:sz w:val="24"/>
          <w:szCs w:val="24"/>
        </w:rPr>
      </w:pPr>
    </w:p>
    <w:p w14:paraId="41126C72">
      <w:pPr>
        <w:spacing w:line="288" w:lineRule="auto"/>
        <w:contextualSpacing/>
        <w:jc w:val="both"/>
        <w:rPr>
          <w:sz w:val="24"/>
          <w:szCs w:val="24"/>
        </w:rPr>
      </w:pPr>
      <w:r>
        <w:rPr>
          <w:sz w:val="24"/>
          <w:szCs w:val="24"/>
        </w:rPr>
        <w:t xml:space="preserve">20.6 A imposição das penalidades é de competência exclusiva do órgão ou entidade contratante, sendo competentes para sua aplicação: </w:t>
      </w:r>
    </w:p>
    <w:p w14:paraId="7AD72C60">
      <w:pPr>
        <w:spacing w:line="288" w:lineRule="auto"/>
        <w:contextualSpacing/>
        <w:jc w:val="both"/>
        <w:rPr>
          <w:sz w:val="24"/>
          <w:szCs w:val="24"/>
        </w:rPr>
      </w:pPr>
      <w:r>
        <w:rPr>
          <w:sz w:val="24"/>
          <w:szCs w:val="24"/>
        </w:rPr>
        <w:t>a) as sanções previstas nos itens 20.2.1, 20.2.2 e 20.2.3 serão impostas pelo Ordenador de Despesa;</w:t>
      </w:r>
    </w:p>
    <w:p w14:paraId="2BCE4C59">
      <w:pPr>
        <w:spacing w:line="288" w:lineRule="auto"/>
        <w:contextualSpacing/>
        <w:jc w:val="both"/>
        <w:rPr>
          <w:sz w:val="24"/>
          <w:szCs w:val="24"/>
        </w:rPr>
      </w:pPr>
      <w:r>
        <w:rPr>
          <w:sz w:val="24"/>
          <w:szCs w:val="24"/>
        </w:rPr>
        <w:t xml:space="preserve">b) a aplicação da sanção prevista no item 20.2.4, na forma do art. </w:t>
      </w:r>
      <w:r>
        <w:rPr>
          <w:rStyle w:val="118"/>
          <w:rFonts w:ascii="Times New Roman" w:hAnsi="Times New Roman" w:eastAsia="Calibri" w:cs="Times New Roman"/>
        </w:rPr>
        <w:t>156, § 6º, I, da Lei nº 14.133/2021,</w:t>
      </w:r>
      <w:r>
        <w:rPr>
          <w:sz w:val="24"/>
          <w:szCs w:val="24"/>
        </w:rPr>
        <w:t xml:space="preserve"> é de competência exclusiva:</w:t>
      </w:r>
    </w:p>
    <w:p w14:paraId="2453B459">
      <w:pPr>
        <w:spacing w:line="288" w:lineRule="auto"/>
        <w:contextualSpacing/>
        <w:jc w:val="both"/>
        <w:rPr>
          <w:sz w:val="24"/>
          <w:szCs w:val="24"/>
        </w:rPr>
      </w:pPr>
      <w:r>
        <w:rPr>
          <w:sz w:val="24"/>
          <w:szCs w:val="24"/>
        </w:rPr>
        <w:t>b.1) em se tratando de contratação realizada pela Administração Pública direta, do Secretário de Município; ou</w:t>
      </w:r>
    </w:p>
    <w:p w14:paraId="3A3A6EC8">
      <w:pPr>
        <w:spacing w:line="288" w:lineRule="auto"/>
        <w:contextualSpacing/>
        <w:jc w:val="both"/>
        <w:rPr>
          <w:sz w:val="24"/>
          <w:szCs w:val="24"/>
        </w:rPr>
      </w:pPr>
      <w:r>
        <w:rPr>
          <w:sz w:val="24"/>
          <w:szCs w:val="24"/>
        </w:rPr>
        <w:t>b.2) em se tratando de contratação realizada pela Administração Pública Indireta (fundação e autarquia), da autoridade máxima da entidade.</w:t>
      </w:r>
    </w:p>
    <w:p w14:paraId="6EB8CE30">
      <w:pPr>
        <w:spacing w:line="288" w:lineRule="auto"/>
        <w:contextualSpacing/>
        <w:jc w:val="both"/>
        <w:rPr>
          <w:sz w:val="24"/>
          <w:szCs w:val="24"/>
        </w:rPr>
      </w:pPr>
    </w:p>
    <w:p w14:paraId="42CAF7FB">
      <w:pPr>
        <w:spacing w:line="288" w:lineRule="auto"/>
        <w:contextualSpacing/>
        <w:jc w:val="both"/>
        <w:rPr>
          <w:sz w:val="24"/>
          <w:szCs w:val="24"/>
        </w:rPr>
      </w:pPr>
      <w:r>
        <w:rPr>
          <w:sz w:val="24"/>
          <w:szCs w:val="24"/>
        </w:rPr>
        <w:t>20.7 A aplicação de quaisquer das penalidades administrativas realizar-se-á em processo administrativo que assegurará o contraditório e a ampla defesa ao licitante ou contratado, devendo ser observado o procedimento previsto na Lei nº 14.133/2021.</w:t>
      </w:r>
    </w:p>
    <w:p w14:paraId="7F982B6D">
      <w:pPr>
        <w:spacing w:line="288" w:lineRule="auto"/>
        <w:contextualSpacing/>
        <w:jc w:val="both"/>
        <w:rPr>
          <w:sz w:val="24"/>
          <w:szCs w:val="24"/>
        </w:rPr>
      </w:pPr>
    </w:p>
    <w:p w14:paraId="0BC6ED3C">
      <w:pPr>
        <w:spacing w:line="288" w:lineRule="auto"/>
        <w:contextualSpacing/>
        <w:jc w:val="both"/>
        <w:rPr>
          <w:sz w:val="24"/>
          <w:szCs w:val="24"/>
        </w:rPr>
      </w:pPr>
      <w:r>
        <w:rPr>
          <w:sz w:val="24"/>
          <w:szCs w:val="24"/>
        </w:rPr>
        <w:t>20.7.1 A aplicação de sanção será antecedida de intimação do licitante ou contratado, que indicará a infração cometida, os fatos, os dispositivos do Edital e/ou do Contrato infringidos e os fundamentos legais pertinentes, a penalidade que se pretende imputar e o respectivo prazo e/ou valor, se for o caso, assim como o prazo e o local para a apresentação da defesa, com a possibilidade de produção de provas.</w:t>
      </w:r>
    </w:p>
    <w:p w14:paraId="6987DB5B">
      <w:pPr>
        <w:spacing w:line="288" w:lineRule="auto"/>
        <w:contextualSpacing/>
        <w:jc w:val="both"/>
        <w:rPr>
          <w:sz w:val="24"/>
          <w:szCs w:val="24"/>
        </w:rPr>
      </w:pPr>
    </w:p>
    <w:p w14:paraId="1BF7139E">
      <w:pPr>
        <w:spacing w:line="288" w:lineRule="auto"/>
        <w:contextualSpacing/>
        <w:jc w:val="both"/>
        <w:rPr>
          <w:sz w:val="24"/>
          <w:szCs w:val="24"/>
        </w:rPr>
      </w:pPr>
      <w:r>
        <w:rPr>
          <w:sz w:val="24"/>
          <w:szCs w:val="24"/>
        </w:rPr>
        <w:t>20.7.2 A defesa prévia do licitante ou contratado será exercida no prazo de:</w:t>
      </w:r>
    </w:p>
    <w:p w14:paraId="70B85AE7">
      <w:pPr>
        <w:spacing w:line="288" w:lineRule="auto"/>
        <w:contextualSpacing/>
        <w:jc w:val="both"/>
        <w:rPr>
          <w:sz w:val="24"/>
          <w:szCs w:val="24"/>
        </w:rPr>
      </w:pPr>
      <w:r>
        <w:rPr>
          <w:sz w:val="24"/>
          <w:szCs w:val="24"/>
        </w:rPr>
        <w:t>a) 15 (quinze) dias úteis, no caso da aplicação das sanções previstas nos itens 20.2.1 e 20.2.2, contado da data da intimação;</w:t>
      </w:r>
    </w:p>
    <w:p w14:paraId="6B844D32">
      <w:pPr>
        <w:spacing w:line="288" w:lineRule="auto"/>
        <w:contextualSpacing/>
        <w:jc w:val="both"/>
        <w:rPr>
          <w:color w:val="000000"/>
          <w:sz w:val="24"/>
          <w:szCs w:val="24"/>
        </w:rPr>
      </w:pPr>
      <w:r>
        <w:rPr>
          <w:sz w:val="24"/>
          <w:szCs w:val="24"/>
        </w:rPr>
        <w:t xml:space="preserve">b) 15 (quinze) dias úteis, no caso de aplicação das sanções previstas nos itens 20.2.3 e 20.2.4, </w:t>
      </w:r>
      <w:r>
        <w:rPr>
          <w:color w:val="000000"/>
          <w:sz w:val="24"/>
          <w:szCs w:val="24"/>
        </w:rPr>
        <w:t>contado da data da intimação, observado o procedimento estabelecido no art. 158 da Lei nº 14.133/2021.</w:t>
      </w:r>
    </w:p>
    <w:p w14:paraId="4D926BFA">
      <w:pPr>
        <w:pStyle w:val="24"/>
        <w:spacing w:line="288" w:lineRule="auto"/>
        <w:contextualSpacing/>
        <w:jc w:val="both"/>
      </w:pPr>
      <w:r>
        <w:t>20.7.3 Será emitida decisão conclusiva sobre a aplicação ou não da sanção, pela autoridade competente, devendo ser apresentada a devida motivação, com a demonstração dos fatos e dos respectivos fundamentos jurídicos.</w:t>
      </w:r>
    </w:p>
    <w:p w14:paraId="0545368F">
      <w:pPr>
        <w:spacing w:line="288" w:lineRule="auto"/>
        <w:contextualSpacing/>
        <w:jc w:val="both"/>
        <w:rPr>
          <w:sz w:val="24"/>
          <w:szCs w:val="24"/>
        </w:rPr>
      </w:pPr>
      <w:r>
        <w:rPr>
          <w:sz w:val="24"/>
          <w:szCs w:val="24"/>
        </w:rPr>
        <w:t>20.8 A aplicação das sanções previstas no Edital e no Contrato não exclui, em hipótese alguma:</w:t>
      </w:r>
    </w:p>
    <w:p w14:paraId="4B4AAC2B">
      <w:pPr>
        <w:spacing w:line="288" w:lineRule="auto"/>
        <w:contextualSpacing/>
        <w:jc w:val="both"/>
        <w:rPr>
          <w:sz w:val="24"/>
          <w:szCs w:val="24"/>
        </w:rPr>
      </w:pPr>
      <w:r>
        <w:rPr>
          <w:sz w:val="24"/>
          <w:szCs w:val="24"/>
        </w:rPr>
        <w:t>a) a obrigação de reparação integral do dano causado à Administração Pública, na forma do art. 156, § 9º, da Lei nº 14.133/2021 e do art. 416, parágrafo único, do Código Civil; e</w:t>
      </w:r>
    </w:p>
    <w:p w14:paraId="0ABBCB83">
      <w:pPr>
        <w:spacing w:line="288" w:lineRule="auto"/>
        <w:contextualSpacing/>
        <w:jc w:val="both"/>
        <w:rPr>
          <w:rFonts w:eastAsia="Arial"/>
          <w:color w:val="000000"/>
          <w:sz w:val="24"/>
          <w:szCs w:val="24"/>
        </w:rPr>
      </w:pPr>
      <w:r>
        <w:rPr>
          <w:rFonts w:eastAsia="Arial"/>
          <w:color w:val="000000"/>
          <w:sz w:val="24"/>
          <w:szCs w:val="24"/>
        </w:rPr>
        <w:t>b) a possibilidade de rescisão administrativa do Contrato, na forma dos arts. 138 e 139 da Lei nº 14.133/2021, garantido o contraditório e a ampla defesa.</w:t>
      </w:r>
    </w:p>
    <w:p w14:paraId="617B048E">
      <w:pPr>
        <w:spacing w:line="288" w:lineRule="auto"/>
        <w:contextualSpacing/>
        <w:jc w:val="both"/>
        <w:rPr>
          <w:rFonts w:eastAsia="Arial"/>
          <w:color w:val="000000"/>
          <w:sz w:val="24"/>
          <w:szCs w:val="24"/>
        </w:rPr>
      </w:pPr>
    </w:p>
    <w:p w14:paraId="476A9C9E">
      <w:pPr>
        <w:spacing w:line="288" w:lineRule="auto"/>
        <w:contextualSpacing/>
        <w:jc w:val="both"/>
        <w:rPr>
          <w:rFonts w:eastAsia="Arial"/>
          <w:color w:val="000000"/>
          <w:sz w:val="24"/>
          <w:szCs w:val="24"/>
        </w:rPr>
      </w:pPr>
      <w:r>
        <w:rPr>
          <w:rFonts w:eastAsia="Arial"/>
          <w:color w:val="000000"/>
          <w:sz w:val="24"/>
          <w:szCs w:val="24"/>
        </w:rPr>
        <w:t xml:space="preserve">20.8.1 Aplica-se o disposto na alínea a do item </w:t>
      </w:r>
      <w:r>
        <w:rPr>
          <w:sz w:val="24"/>
          <w:szCs w:val="24"/>
        </w:rPr>
        <w:t>20</w:t>
      </w:r>
      <w:r>
        <w:rPr>
          <w:rFonts w:eastAsia="Arial"/>
          <w:color w:val="000000"/>
          <w:sz w:val="24"/>
          <w:szCs w:val="24"/>
        </w:rPr>
        <w:t xml:space="preserve">.8 à multa compensatória, nos termos do parágrafo único do art. 416 do Código Civil. </w:t>
      </w:r>
    </w:p>
    <w:p w14:paraId="60073BDA">
      <w:pPr>
        <w:spacing w:line="288" w:lineRule="auto"/>
        <w:contextualSpacing/>
        <w:jc w:val="both"/>
        <w:rPr>
          <w:rFonts w:eastAsia="Arial"/>
          <w:color w:val="000000"/>
          <w:sz w:val="24"/>
          <w:szCs w:val="24"/>
        </w:rPr>
      </w:pPr>
    </w:p>
    <w:p w14:paraId="10900DF6">
      <w:pPr>
        <w:spacing w:line="288" w:lineRule="auto"/>
        <w:contextualSpacing/>
        <w:jc w:val="both"/>
        <w:rPr>
          <w:rFonts w:eastAsia="Arial"/>
          <w:color w:val="000000"/>
          <w:sz w:val="24"/>
          <w:szCs w:val="24"/>
        </w:rPr>
      </w:pPr>
      <w:r>
        <w:rPr>
          <w:sz w:val="24"/>
          <w:szCs w:val="24"/>
        </w:rPr>
        <w:t>20</w:t>
      </w:r>
      <w:r>
        <w:rPr>
          <w:rFonts w:eastAsia="Arial"/>
          <w:color w:val="000000"/>
          <w:sz w:val="24"/>
          <w:szCs w:val="24"/>
        </w:rPr>
        <w:t>.9 As sanções de impedimento de licitar e contratar e de declaração de inidoneidade para licitar ou contratar são passíveis de reabilitação, observados os requisitos estabelecidos no art. 163 da Lei nº 14.133/2021.</w:t>
      </w:r>
    </w:p>
    <w:p w14:paraId="01746233">
      <w:pPr>
        <w:spacing w:line="288" w:lineRule="auto"/>
        <w:contextualSpacing/>
        <w:jc w:val="both"/>
        <w:rPr>
          <w:rFonts w:eastAsia="Arial"/>
          <w:color w:val="000000"/>
          <w:sz w:val="24"/>
          <w:szCs w:val="24"/>
        </w:rPr>
      </w:pPr>
    </w:p>
    <w:p w14:paraId="68E7EB1C">
      <w:pPr>
        <w:spacing w:line="288" w:lineRule="auto"/>
        <w:contextualSpacing/>
        <w:jc w:val="both"/>
        <w:rPr>
          <w:sz w:val="24"/>
          <w:szCs w:val="24"/>
        </w:rPr>
      </w:pPr>
      <w:r>
        <w:rPr>
          <w:sz w:val="24"/>
          <w:szCs w:val="24"/>
        </w:rPr>
        <w:t xml:space="preserve">20.10 Se, durante o processo de aplicação de penalidade, houver indícios de prática de infração administrativa tipificada pela Lei nº 12.846/2013, como ato lesivo à administração pública nacional,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14:paraId="24336DF0">
      <w:pPr>
        <w:spacing w:line="288" w:lineRule="auto"/>
        <w:contextualSpacing/>
        <w:jc w:val="both"/>
        <w:rPr>
          <w:sz w:val="24"/>
          <w:szCs w:val="24"/>
        </w:rPr>
      </w:pPr>
    </w:p>
    <w:p w14:paraId="640D4A2E">
      <w:pPr>
        <w:spacing w:line="288" w:lineRule="auto"/>
        <w:contextualSpacing/>
        <w:jc w:val="both"/>
        <w:rPr>
          <w:sz w:val="24"/>
          <w:szCs w:val="24"/>
        </w:rPr>
      </w:pPr>
      <w:r>
        <w:rPr>
          <w:sz w:val="24"/>
          <w:szCs w:val="24"/>
        </w:rPr>
        <w:t>20.10.1 A apuração e o julgamento das demais infrações administrativas não consideradas como ato lesivo à Administração Pública nacional, nos termos da Lei nº 12.846/2013, seguirão seu rito normal na unidade administrativa.</w:t>
      </w:r>
    </w:p>
    <w:p w14:paraId="6CE3B72D">
      <w:pPr>
        <w:spacing w:line="288" w:lineRule="auto"/>
        <w:contextualSpacing/>
        <w:jc w:val="both"/>
        <w:rPr>
          <w:sz w:val="24"/>
          <w:szCs w:val="24"/>
        </w:rPr>
      </w:pPr>
    </w:p>
    <w:p w14:paraId="76F72BD6">
      <w:pPr>
        <w:spacing w:line="288" w:lineRule="auto"/>
        <w:contextualSpacing/>
        <w:jc w:val="both"/>
        <w:rPr>
          <w:sz w:val="24"/>
          <w:szCs w:val="24"/>
        </w:rPr>
      </w:pPr>
      <w:r>
        <w:rPr>
          <w:sz w:val="24"/>
          <w:szCs w:val="24"/>
        </w:rPr>
        <w:t xml:space="preserve">20.10.2 O processamento do PAR não interfere no seguimento regular dos processos administrativos específicos para apuração da ocorrência de danos e prejuízos à Administração Pública Estadual resultantes de ato lesivo cometido por pessoa jurídica, com ou sem a participação de agente público. </w:t>
      </w:r>
    </w:p>
    <w:p w14:paraId="03599F91">
      <w:pPr>
        <w:spacing w:line="288" w:lineRule="auto"/>
        <w:contextualSpacing/>
        <w:jc w:val="both"/>
        <w:rPr>
          <w:sz w:val="24"/>
          <w:szCs w:val="24"/>
        </w:rPr>
      </w:pPr>
    </w:p>
    <w:p w14:paraId="204B23AB">
      <w:pPr>
        <w:spacing w:line="288" w:lineRule="auto"/>
        <w:contextualSpacing/>
        <w:jc w:val="both"/>
        <w:rPr>
          <w:sz w:val="24"/>
          <w:szCs w:val="24"/>
        </w:rPr>
      </w:pPr>
      <w:r>
        <w:rPr>
          <w:sz w:val="24"/>
          <w:szCs w:val="24"/>
        </w:rPr>
        <w:t>20.10.2.1 Caso seja possível, a apuração deverá ser promovida em conjunto no PAR.</w:t>
      </w:r>
    </w:p>
    <w:p w14:paraId="7DA40E1D">
      <w:pPr>
        <w:spacing w:line="288" w:lineRule="auto"/>
        <w:contextualSpacing/>
        <w:jc w:val="both"/>
        <w:rPr>
          <w:sz w:val="24"/>
          <w:szCs w:val="24"/>
        </w:rPr>
      </w:pPr>
    </w:p>
    <w:p w14:paraId="19BE7B2E">
      <w:pPr>
        <w:spacing w:line="288" w:lineRule="auto"/>
        <w:contextualSpacing/>
        <w:jc w:val="both"/>
        <w:rPr>
          <w:sz w:val="24"/>
          <w:szCs w:val="24"/>
        </w:rPr>
      </w:pPr>
      <w:r>
        <w:rPr>
          <w:sz w:val="24"/>
          <w:szCs w:val="24"/>
        </w:rPr>
        <w:t>20.11 Na hipótese de abertura de processo administrativo destinado a apuração de fatos e, se for o caso, aplicação de sanções ao licitante ou contratado, em decorrência de conduta vedada no Edital e/ou no Contrato, as comunicações serão efetuadas por meio do endereço de correio eletrônico ("e-mail") cadastrado pela empresa junto ao Comprasnet.</w:t>
      </w:r>
    </w:p>
    <w:p w14:paraId="3B8844F0">
      <w:pPr>
        <w:spacing w:line="288" w:lineRule="auto"/>
        <w:contextualSpacing/>
        <w:jc w:val="both"/>
        <w:rPr>
          <w:sz w:val="24"/>
          <w:szCs w:val="24"/>
        </w:rPr>
      </w:pPr>
    </w:p>
    <w:p w14:paraId="75C991FC">
      <w:pPr>
        <w:autoSpaceDE w:val="0"/>
        <w:autoSpaceDN w:val="0"/>
        <w:adjustRightInd w:val="0"/>
        <w:spacing w:line="288" w:lineRule="auto"/>
        <w:contextualSpacing/>
        <w:jc w:val="both"/>
        <w:rPr>
          <w:sz w:val="24"/>
          <w:szCs w:val="24"/>
        </w:rPr>
      </w:pPr>
      <w:r>
        <w:rPr>
          <w:sz w:val="24"/>
          <w:szCs w:val="24"/>
        </w:rPr>
        <w:t>20.11.1 O licitante ou contratado deverá manter atualizado o endereço de correio eletrônico ("e-mail") cadastrado junto ao sistema eletrônico de contratações e confirmar o recebimento das mensagens encaminhadas pelo órgão ou entidade contratante, não podendo alegar o desconhecimento do recebimento das comunicações por este meio como justificativa para se eximir das responsabilidades assumidas ou eventuais sanções aplicadas.</w:t>
      </w:r>
    </w:p>
    <w:p w14:paraId="50F278D7">
      <w:pPr>
        <w:autoSpaceDE w:val="0"/>
        <w:autoSpaceDN w:val="0"/>
        <w:adjustRightInd w:val="0"/>
        <w:spacing w:line="288" w:lineRule="auto"/>
        <w:contextualSpacing/>
        <w:jc w:val="both"/>
        <w:rPr>
          <w:sz w:val="24"/>
          <w:szCs w:val="24"/>
        </w:rPr>
      </w:pPr>
    </w:p>
    <w:p w14:paraId="0112B989">
      <w:pPr>
        <w:pStyle w:val="74"/>
        <w:spacing w:line="288" w:lineRule="auto"/>
        <w:contextualSpacing/>
        <w:jc w:val="both"/>
        <w:rPr>
          <w:rFonts w:ascii="Times New Roman" w:hAnsi="Times New Roman" w:cs="Times New Roman"/>
        </w:rPr>
      </w:pPr>
      <w:r>
        <w:rPr>
          <w:rFonts w:ascii="Times New Roman" w:hAnsi="Times New Roman" w:cs="Times New Roman"/>
        </w:rPr>
        <w:t>20.12 O contratante deverá remeter para os órgãos competentes o extrato de publicação no Boletim Oficial do Município do ato de aplicação das sanções de impedimento de licitar e contratar e de declaração de inidoneidade para licitar e contratar, de modo a possibilitar a formalização da extensão dos seus efeitos para todos os órgãos e entidades da Administração Pública do Município de Valença.</w:t>
      </w:r>
    </w:p>
    <w:p w14:paraId="46645FB0">
      <w:pPr>
        <w:pStyle w:val="74"/>
        <w:spacing w:line="288" w:lineRule="auto"/>
        <w:contextualSpacing/>
        <w:jc w:val="both"/>
        <w:rPr>
          <w:rFonts w:ascii="Times New Roman" w:hAnsi="Times New Roman" w:cs="Times New Roman"/>
        </w:rPr>
      </w:pPr>
    </w:p>
    <w:p w14:paraId="13B7AF25">
      <w:pPr>
        <w:pStyle w:val="74"/>
        <w:spacing w:line="288" w:lineRule="auto"/>
        <w:contextualSpacing/>
        <w:jc w:val="both"/>
        <w:rPr>
          <w:rFonts w:ascii="Times New Roman" w:hAnsi="Times New Roman" w:cs="Times New Roman"/>
        </w:rPr>
      </w:pPr>
      <w:r>
        <w:rPr>
          <w:rFonts w:ascii="Times New Roman" w:hAnsi="Times New Roman" w:cs="Times New Roman"/>
        </w:rPr>
        <w:t>20.12.1 A aplicação das sanções de impedimento de licitar e contratar e de declaração de inidoneidade para licitar e contratar deverá ser comunicada à Secretaria Municipal de Controle Interno, no prazo de 15 (quinze) dias úteis, contado da sua aplicação, que informará, para fins de publicidade, ao Cadastro Nacional de Empresas Inidôneas e Suspensas – CEIS e ao Cadastro Nacional de Empresas Punidas (Cnep), na forma do art. 161 da Lei nº 14.133/2021.</w:t>
      </w:r>
    </w:p>
    <w:p w14:paraId="08C6D2F8">
      <w:pPr>
        <w:pStyle w:val="74"/>
        <w:spacing w:line="288" w:lineRule="auto"/>
        <w:contextualSpacing/>
        <w:jc w:val="both"/>
        <w:rPr>
          <w:rFonts w:ascii="Times New Roman" w:hAnsi="Times New Roman" w:cs="Times New Roman"/>
        </w:rPr>
      </w:pPr>
    </w:p>
    <w:p w14:paraId="4E98343B">
      <w:pPr>
        <w:spacing w:line="288" w:lineRule="auto"/>
        <w:contextualSpacing/>
        <w:jc w:val="both"/>
        <w:rPr>
          <w:sz w:val="24"/>
          <w:szCs w:val="24"/>
        </w:rPr>
      </w:pPr>
      <w:r>
        <w:rPr>
          <w:sz w:val="24"/>
          <w:szCs w:val="24"/>
        </w:rPr>
        <w:t xml:space="preserve">20.13 Caso não seja efetuado o pagamento da multa aplicada ou o valor seja superior ao </w:t>
      </w:r>
      <w:r>
        <w:rPr>
          <w:color w:val="000000"/>
          <w:sz w:val="24"/>
          <w:szCs w:val="24"/>
        </w:rPr>
        <w:t>do pagamento eventualmente devido pela Administração ao contratado e da garantia prestada</w:t>
      </w:r>
      <w:r>
        <w:rPr>
          <w:sz w:val="24"/>
          <w:szCs w:val="24"/>
        </w:rPr>
        <w:t>, deverá ser emitida nota de débito no valor total ou do saldo, no prazo de 30 (trinta) dias após a decisão final quanto à penalidade.</w:t>
      </w:r>
    </w:p>
    <w:p w14:paraId="4018A7DB">
      <w:pPr>
        <w:spacing w:line="288" w:lineRule="auto"/>
        <w:contextualSpacing/>
        <w:jc w:val="both"/>
        <w:rPr>
          <w:sz w:val="24"/>
          <w:szCs w:val="24"/>
        </w:rPr>
      </w:pPr>
    </w:p>
    <w:p w14:paraId="0CEC5008">
      <w:pPr>
        <w:spacing w:line="288" w:lineRule="auto"/>
        <w:contextualSpacing/>
        <w:jc w:val="both"/>
        <w:rPr>
          <w:sz w:val="24"/>
          <w:szCs w:val="24"/>
        </w:rPr>
      </w:pPr>
      <w:r>
        <w:rPr>
          <w:sz w:val="24"/>
          <w:szCs w:val="24"/>
        </w:rPr>
        <w:t>20.13.1 A nota de débito deverá ser encaminhada à Departamento de Cadastro Controle e Arrecadação para inscrição do débito em dívida ativa e propositura de execução fiscal, na forma do art. 39 da Lei nº 4.320, de 17 de março de 1964.</w:t>
      </w:r>
    </w:p>
    <w:p w14:paraId="60C703B8">
      <w:pPr>
        <w:spacing w:line="288" w:lineRule="auto"/>
        <w:contextualSpacing/>
        <w:jc w:val="both"/>
        <w:rPr>
          <w:sz w:val="24"/>
          <w:szCs w:val="24"/>
        </w:rPr>
      </w:pPr>
    </w:p>
    <w:p w14:paraId="4DE68841">
      <w:pPr>
        <w:spacing w:line="288" w:lineRule="auto"/>
        <w:contextualSpacing/>
        <w:jc w:val="both"/>
        <w:rPr>
          <w:sz w:val="24"/>
          <w:szCs w:val="24"/>
        </w:rPr>
      </w:pPr>
      <w:r>
        <w:rPr>
          <w:sz w:val="24"/>
          <w:szCs w:val="24"/>
        </w:rPr>
        <w:t xml:space="preserve">20.13.2 O procedimento para inscrição do débito em dívida ativa deverá observar o que dispõe a Lei Complementar nº: 279/2024. </w:t>
      </w:r>
    </w:p>
    <w:p w14:paraId="2005FA5C">
      <w:pPr>
        <w:spacing w:line="288" w:lineRule="auto"/>
        <w:contextualSpacing/>
        <w:jc w:val="both"/>
        <w:rPr>
          <w:sz w:val="24"/>
          <w:szCs w:val="24"/>
        </w:rPr>
      </w:pPr>
    </w:p>
    <w:p w14:paraId="42348B14">
      <w:pPr>
        <w:pStyle w:val="97"/>
        <w:spacing w:before="0" w:beforeAutospacing="0" w:after="0" w:afterAutospacing="0" w:line="288" w:lineRule="auto"/>
        <w:contextualSpacing/>
        <w:jc w:val="both"/>
        <w:rPr>
          <w:rFonts w:eastAsia="Calibri"/>
          <w:b/>
          <w:bCs/>
          <w:lang w:eastAsia="en-US"/>
        </w:rPr>
      </w:pPr>
      <w:r>
        <w:rPr>
          <w:rFonts w:eastAsia="Calibri"/>
          <w:b/>
          <w:bCs/>
          <w:lang w:eastAsia="en-US"/>
        </w:rPr>
        <w:t>21. DAS DISPOSIÇÕES GERAIS</w:t>
      </w:r>
    </w:p>
    <w:p w14:paraId="74C8534E">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21.1 Será divulgada ata da sessão pública no sistema eletrônico.</w:t>
      </w:r>
    </w:p>
    <w:p w14:paraId="4430DDC2">
      <w:pPr>
        <w:pStyle w:val="99"/>
        <w:spacing w:before="288" w:beforeLines="120" w:after="288" w:afterLines="120" w:line="288" w:lineRule="auto"/>
        <w:ind w:left="0" w:firstLine="0"/>
        <w:contextualSpacing/>
        <w:rPr>
          <w:rFonts w:ascii="Times New Roman" w:hAnsi="Times New Roman" w:cs="Times New Roman"/>
          <w:sz w:val="24"/>
          <w:szCs w:val="24"/>
        </w:rPr>
      </w:pPr>
    </w:p>
    <w:p w14:paraId="21B83039">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21.2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321EBEE5">
      <w:pPr>
        <w:pStyle w:val="99"/>
        <w:spacing w:before="288" w:beforeLines="120" w:after="288" w:afterLines="120" w:line="288" w:lineRule="auto"/>
        <w:ind w:left="0" w:firstLine="0"/>
        <w:contextualSpacing/>
        <w:rPr>
          <w:rFonts w:ascii="Times New Roman" w:hAnsi="Times New Roman" w:cs="Times New Roman"/>
          <w:sz w:val="24"/>
          <w:szCs w:val="24"/>
        </w:rPr>
      </w:pPr>
    </w:p>
    <w:p w14:paraId="608E15E8">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21.3 Todas as referências de tempo no Edital, no aviso e durante a sessão pública observarão o horário de Brasília - DF.</w:t>
      </w:r>
    </w:p>
    <w:p w14:paraId="45EB4065">
      <w:pPr>
        <w:pStyle w:val="99"/>
        <w:spacing w:before="288" w:beforeLines="120" w:after="288" w:afterLines="120" w:line="288" w:lineRule="auto"/>
        <w:ind w:left="0" w:firstLine="0"/>
        <w:contextualSpacing/>
        <w:rPr>
          <w:rFonts w:ascii="Times New Roman" w:hAnsi="Times New Roman" w:cs="Times New Roman"/>
          <w:sz w:val="24"/>
          <w:szCs w:val="24"/>
        </w:rPr>
      </w:pPr>
    </w:p>
    <w:p w14:paraId="6D1237BC">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21.4 A homologação do resultado desta licitação não implicará direito à contratação.</w:t>
      </w:r>
    </w:p>
    <w:p w14:paraId="6EF1075A">
      <w:pPr>
        <w:pStyle w:val="99"/>
        <w:spacing w:before="288" w:beforeLines="120" w:after="288" w:afterLines="120" w:line="288" w:lineRule="auto"/>
        <w:ind w:left="0" w:firstLine="0"/>
        <w:contextualSpacing/>
        <w:rPr>
          <w:rFonts w:ascii="Times New Roman" w:hAnsi="Times New Roman" w:cs="Times New Roman"/>
          <w:sz w:val="24"/>
          <w:szCs w:val="24"/>
        </w:rPr>
      </w:pPr>
    </w:p>
    <w:p w14:paraId="2FB402CE">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21.5 As normas disciplinadoras da licitação serão sempre interpretadas em favor da ampliação da disputa entre os interessados, desde que não comprometam o interesse da Administração, o princípio da isonomia, a finalidade e a segurança da contratação. </w:t>
      </w:r>
    </w:p>
    <w:p w14:paraId="27DC5D19">
      <w:pPr>
        <w:pStyle w:val="99"/>
        <w:spacing w:before="288" w:beforeLines="120" w:after="288" w:afterLines="120" w:line="288" w:lineRule="auto"/>
        <w:ind w:left="0" w:firstLine="0"/>
        <w:contextualSpacing/>
        <w:rPr>
          <w:rFonts w:ascii="Times New Roman" w:hAnsi="Times New Roman" w:cs="Times New Roman"/>
          <w:sz w:val="24"/>
          <w:szCs w:val="24"/>
        </w:rPr>
      </w:pPr>
    </w:p>
    <w:p w14:paraId="4BEC4DC4">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21.6 Os licitantes assumem todos os custos de preparação e apresentação de suas propostas e a Administração não será, em nenhum caso, responsável por esses custos, independentemente da condução ou do resultado do processo licitatório.</w:t>
      </w:r>
    </w:p>
    <w:p w14:paraId="43702F32">
      <w:pPr>
        <w:pStyle w:val="99"/>
        <w:spacing w:before="288" w:beforeLines="120" w:after="288" w:afterLines="120" w:line="288" w:lineRule="auto"/>
        <w:ind w:left="0" w:firstLine="0"/>
        <w:contextualSpacing/>
        <w:rPr>
          <w:rFonts w:ascii="Times New Roman" w:hAnsi="Times New Roman" w:cs="Times New Roman"/>
          <w:sz w:val="24"/>
          <w:szCs w:val="24"/>
        </w:rPr>
      </w:pPr>
    </w:p>
    <w:p w14:paraId="41CF6695">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21.7 Na contagem dos prazos estabelecidos neste Edital e seus Anexos, excluir-se-á o dia do início e incluir-se-á o do vencimento. Só se iniciam e vencem os prazos em dias de expediente na Administração.</w:t>
      </w:r>
    </w:p>
    <w:p w14:paraId="4C9F3EAA">
      <w:pPr>
        <w:pStyle w:val="99"/>
        <w:spacing w:before="288" w:beforeLines="120" w:after="288" w:afterLines="120" w:line="288" w:lineRule="auto"/>
        <w:ind w:left="0" w:firstLine="0"/>
        <w:contextualSpacing/>
        <w:rPr>
          <w:rFonts w:ascii="Times New Roman" w:hAnsi="Times New Roman" w:cs="Times New Roman"/>
          <w:sz w:val="24"/>
          <w:szCs w:val="24"/>
        </w:rPr>
      </w:pPr>
    </w:p>
    <w:p w14:paraId="1433E61D">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21.8 O desatendimento de exigências formais não essenciais não importará o afastamento do licitante, desde que seja possível o aproveitamento do ato, observados os princípios da isonomia e do interesse público.</w:t>
      </w:r>
    </w:p>
    <w:p w14:paraId="260F9EA9">
      <w:pPr>
        <w:pStyle w:val="99"/>
        <w:spacing w:before="288" w:beforeLines="120" w:after="288" w:afterLines="120" w:line="288" w:lineRule="auto"/>
        <w:ind w:left="0" w:firstLine="0"/>
        <w:contextualSpacing/>
        <w:rPr>
          <w:rFonts w:ascii="Times New Roman" w:hAnsi="Times New Roman" w:cs="Times New Roman"/>
          <w:sz w:val="24"/>
          <w:szCs w:val="24"/>
        </w:rPr>
      </w:pPr>
    </w:p>
    <w:p w14:paraId="40466EBE">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21.9 Em caso de divergência entre disposições deste Edital e de seus anexos ou demais peças que compõem o processo, prevalecerão as deste Edital.</w:t>
      </w:r>
    </w:p>
    <w:p w14:paraId="69135573">
      <w:pPr>
        <w:pStyle w:val="99"/>
        <w:spacing w:before="288" w:beforeLines="120" w:after="288" w:afterLines="120" w:line="288" w:lineRule="auto"/>
        <w:ind w:left="0" w:firstLine="0"/>
        <w:contextualSpacing/>
        <w:rPr>
          <w:rFonts w:ascii="Times New Roman" w:hAnsi="Times New Roman" w:cs="Times New Roman"/>
          <w:sz w:val="24"/>
          <w:szCs w:val="24"/>
        </w:rPr>
      </w:pPr>
    </w:p>
    <w:p w14:paraId="25C2023B">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21.10 O Edital e seus anexos </w:t>
      </w:r>
      <w:r>
        <w:rPr>
          <w:rFonts w:ascii="Times New Roman" w:hAnsi="Times New Roman" w:cs="Times New Roman"/>
          <w:color w:val="auto"/>
          <w:sz w:val="24"/>
          <w:szCs w:val="24"/>
        </w:rPr>
        <w:t>estão disponíveis, na íntegra, no Portal Nacional de Contratações Públicas (PNCP) e endereço eletrô</w:t>
      </w:r>
      <w:r>
        <w:rPr>
          <w:rFonts w:ascii="Times New Roman" w:hAnsi="Times New Roman" w:cs="Times New Roman"/>
          <w:sz w:val="24"/>
          <w:szCs w:val="24"/>
        </w:rPr>
        <w:t xml:space="preserve">nico </w:t>
      </w:r>
      <w:r>
        <w:rPr>
          <w:rFonts w:ascii="Times New Roman" w:hAnsi="Times New Roman" w:cs="Times New Roman"/>
          <w:color w:val="auto"/>
          <w:sz w:val="24"/>
          <w:szCs w:val="24"/>
        </w:rPr>
        <w:t>www.valenca.rj.gov.br</w:t>
      </w:r>
      <w:r>
        <w:rPr>
          <w:rFonts w:ascii="Times New Roman" w:hAnsi="Times New Roman" w:cs="Times New Roman"/>
          <w:sz w:val="24"/>
          <w:szCs w:val="24"/>
        </w:rPr>
        <w:t>.</w:t>
      </w:r>
    </w:p>
    <w:p w14:paraId="1EDC6907">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Integram este Edital, para todos os fins e efeitos, os seguintes anexos:</w:t>
      </w:r>
    </w:p>
    <w:p w14:paraId="08B5F1FC">
      <w:pPr>
        <w:pStyle w:val="103"/>
        <w:spacing w:before="288" w:beforeLines="120" w:after="288" w:afterLines="120" w:line="288" w:lineRule="auto"/>
        <w:ind w:left="0" w:firstLine="0"/>
        <w:contextualSpacing/>
        <w:rPr>
          <w:rFonts w:ascii="Times New Roman" w:hAnsi="Times New Roman" w:cs="Times New Roman"/>
          <w:sz w:val="24"/>
          <w:szCs w:val="24"/>
        </w:rPr>
      </w:pPr>
      <w:bookmarkStart w:id="38" w:name="_Hlk154231260"/>
      <w:r>
        <w:rPr>
          <w:rFonts w:ascii="Times New Roman" w:hAnsi="Times New Roman" w:cs="Times New Roman"/>
          <w:sz w:val="24"/>
          <w:szCs w:val="24"/>
        </w:rPr>
        <w:t>Anexo I - Termo de Referência</w:t>
      </w:r>
    </w:p>
    <w:p w14:paraId="47110C1D">
      <w:pPr>
        <w:pStyle w:val="103"/>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A</w:t>
      </w:r>
      <w:r>
        <w:rPr>
          <w:rFonts w:ascii="Times New Roman" w:hAnsi="Times New Roman" w:cs="Times New Roman"/>
          <w:sz w:val="24"/>
          <w:szCs w:val="24"/>
        </w:rPr>
        <w:t>nexo</w:t>
      </w:r>
      <w:r>
        <w:rPr>
          <w:rFonts w:ascii="Times New Roman" w:hAnsi="Times New Roman" w:cs="Times New Roman"/>
          <w:color w:val="auto"/>
          <w:sz w:val="24"/>
          <w:szCs w:val="24"/>
        </w:rPr>
        <w:t xml:space="preserve"> II - </w:t>
      </w:r>
      <w:r>
        <w:rPr>
          <w:rFonts w:ascii="Times New Roman" w:hAnsi="Times New Roman" w:cs="Times New Roman"/>
          <w:sz w:val="24"/>
          <w:szCs w:val="24"/>
        </w:rPr>
        <w:t>Estudo Técnico Preliminar</w:t>
      </w:r>
    </w:p>
    <w:p w14:paraId="740A9DE2">
      <w:pPr>
        <w:pStyle w:val="10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color w:val="auto"/>
          <w:sz w:val="24"/>
          <w:szCs w:val="24"/>
        </w:rPr>
        <w:t>Anexo III - Modelo de apresentação da proposta</w:t>
      </w:r>
    </w:p>
    <w:p w14:paraId="5657CFC6">
      <w:pPr>
        <w:pStyle w:val="10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Anexo IV - Documentação exigida para Habilitação</w:t>
      </w:r>
    </w:p>
    <w:p w14:paraId="01CAD5B2">
      <w:pPr>
        <w:pStyle w:val="103"/>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A</w:t>
      </w:r>
      <w:r>
        <w:rPr>
          <w:rFonts w:ascii="Times New Roman" w:hAnsi="Times New Roman" w:cs="Times New Roman"/>
          <w:sz w:val="24"/>
          <w:szCs w:val="24"/>
        </w:rPr>
        <w:t>nexo</w:t>
      </w:r>
      <w:r>
        <w:rPr>
          <w:rFonts w:ascii="Times New Roman" w:hAnsi="Times New Roman" w:cs="Times New Roman"/>
          <w:color w:val="auto"/>
          <w:sz w:val="24"/>
          <w:szCs w:val="24"/>
        </w:rPr>
        <w:t xml:space="preserve"> V - Orçamento estimado/ Planilha de Custos</w:t>
      </w:r>
    </w:p>
    <w:p w14:paraId="5D74BD51">
      <w:pPr>
        <w:pStyle w:val="10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Anexo VI - Ata de Registro de Preços</w:t>
      </w:r>
    </w:p>
    <w:p w14:paraId="628FBA59">
      <w:pPr>
        <w:pStyle w:val="10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Anexo VII - Minuta de Termo de Contrato</w:t>
      </w:r>
    </w:p>
    <w:p w14:paraId="3EECC4B8">
      <w:pPr>
        <w:pStyle w:val="103"/>
        <w:spacing w:before="288" w:beforeLines="120" w:after="288" w:afterLines="120" w:line="288" w:lineRule="auto"/>
        <w:ind w:left="0" w:firstLine="0"/>
        <w:contextualSpacing/>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sz w:val="24"/>
          <w:szCs w:val="24"/>
        </w:rPr>
        <w:t xml:space="preserve">Anexo VIII - </w:t>
      </w:r>
      <w:r>
        <w:rPr>
          <w:rFonts w:ascii="Times New Roman" w:hAnsi="Times New Roman" w:cs="Times New Roman"/>
          <w:color w:val="000000" w:themeColor="text1"/>
          <w:sz w:val="24"/>
          <w:szCs w:val="24"/>
          <w14:textFill>
            <w14:solidFill>
              <w14:schemeClr w14:val="tx1"/>
            </w14:solidFill>
          </w14:textFill>
        </w:rPr>
        <w:t xml:space="preserve">Declarações </w:t>
      </w:r>
      <w:bookmarkEnd w:id="38"/>
    </w:p>
    <w:p w14:paraId="1C439F43">
      <w:pPr>
        <w:pStyle w:val="103"/>
        <w:spacing w:before="288" w:beforeLines="120" w:after="288" w:afterLines="120" w:line="288" w:lineRule="auto"/>
        <w:ind w:left="0" w:firstLine="0"/>
        <w:contextualSpacing/>
        <w:rPr>
          <w:rFonts w:ascii="Times New Roman" w:hAnsi="Times New Roman" w:cs="Times New Roman"/>
          <w:color w:val="000000" w:themeColor="text1"/>
          <w:sz w:val="24"/>
          <w:szCs w:val="24"/>
          <w14:textFill>
            <w14:solidFill>
              <w14:schemeClr w14:val="tx1"/>
            </w14:solidFill>
          </w14:textFill>
        </w:rPr>
      </w:pPr>
    </w:p>
    <w:p w14:paraId="6EBED03D">
      <w:pPr>
        <w:pStyle w:val="103"/>
        <w:spacing w:before="288" w:beforeLines="120" w:after="288" w:afterLines="120" w:line="288" w:lineRule="auto"/>
        <w:ind w:left="0" w:firstLine="0"/>
        <w:contextualSpacing/>
        <w:rPr>
          <w:rFonts w:ascii="Times New Roman" w:hAnsi="Times New Roman" w:cs="Times New Roman"/>
          <w:color w:val="000000" w:themeColor="text1"/>
          <w:sz w:val="24"/>
          <w:szCs w:val="24"/>
          <w14:textFill>
            <w14:solidFill>
              <w14:schemeClr w14:val="tx1"/>
            </w14:solidFill>
          </w14:textFill>
        </w:rPr>
      </w:pPr>
    </w:p>
    <w:p w14:paraId="69418DB3">
      <w:pPr>
        <w:pStyle w:val="103"/>
        <w:spacing w:before="288" w:beforeLines="120" w:after="288" w:afterLines="120" w:line="288" w:lineRule="auto"/>
        <w:ind w:left="0" w:firstLine="0"/>
        <w:contextualSpacing/>
        <w:rPr>
          <w:rFonts w:hint="default" w:ascii="Times New Roman" w:hAnsi="Times New Roman" w:eastAsia="MS Mincho" w:cs="Times New Roman"/>
          <w:color w:val="000000" w:themeColor="text1"/>
          <w:sz w:val="24"/>
          <w:szCs w:val="24"/>
          <w:lang w:val="pt-BR"/>
          <w14:textFill>
            <w14:solidFill>
              <w14:schemeClr w14:val="tx1"/>
            </w14:solidFill>
          </w14:textFill>
        </w:rPr>
      </w:pPr>
      <w:r>
        <w:rPr>
          <w:rFonts w:ascii="Times New Roman" w:hAnsi="Times New Roman" w:eastAsia="MS Mincho" w:cs="Times New Roman"/>
          <w:color w:val="000000" w:themeColor="text1"/>
          <w:sz w:val="24"/>
          <w:szCs w:val="24"/>
          <w14:textFill>
            <w14:solidFill>
              <w14:schemeClr w14:val="tx1"/>
            </w14:solidFill>
          </w14:textFill>
        </w:rPr>
        <w:t xml:space="preserve">                                              Valença , </w:t>
      </w:r>
      <w:r>
        <w:rPr>
          <w:rFonts w:hint="default" w:ascii="Times New Roman" w:hAnsi="Times New Roman" w:eastAsia="MS Mincho" w:cs="Times New Roman"/>
          <w:color w:val="000000" w:themeColor="text1"/>
          <w:sz w:val="24"/>
          <w:szCs w:val="24"/>
          <w:lang w:val="pt-BR"/>
          <w14:textFill>
            <w14:solidFill>
              <w14:schemeClr w14:val="tx1"/>
            </w14:solidFill>
          </w14:textFill>
        </w:rPr>
        <w:t>18 de maio de 2026.</w:t>
      </w:r>
      <w:bookmarkStart w:id="49" w:name="_GoBack"/>
      <w:bookmarkEnd w:id="49"/>
    </w:p>
    <w:p w14:paraId="12E60D5B">
      <w:pPr>
        <w:spacing w:before="288" w:beforeLines="120" w:after="288" w:afterLines="120" w:line="288" w:lineRule="auto"/>
        <w:contextualSpacing/>
        <w:jc w:val="center"/>
        <w:rPr>
          <w:rFonts w:eastAsia="MS Mincho"/>
          <w:b/>
          <w:color w:val="FF0000"/>
          <w:sz w:val="24"/>
          <w:szCs w:val="24"/>
        </w:rPr>
      </w:pPr>
    </w:p>
    <w:p w14:paraId="73F1BC42">
      <w:pPr>
        <w:spacing w:before="288" w:beforeLines="120" w:after="288" w:afterLines="120" w:line="288" w:lineRule="auto"/>
        <w:contextualSpacing/>
        <w:jc w:val="center"/>
        <w:rPr>
          <w:rFonts w:eastAsia="MS Mincho" w:asciiTheme="minorHAnsi" w:hAnsiTheme="minorHAnsi" w:cstheme="minorHAnsi"/>
          <w:b/>
          <w:color w:val="FF0000"/>
          <w:sz w:val="24"/>
          <w:szCs w:val="24"/>
        </w:rPr>
      </w:pPr>
      <w:r>
        <w:rPr>
          <w:rFonts w:eastAsia="MS Mincho"/>
          <w:b/>
          <w:color w:val="000000" w:themeColor="text1"/>
          <w:sz w:val="24"/>
          <w:szCs w:val="24"/>
          <w14:textFill>
            <w14:solidFill>
              <w14:schemeClr w14:val="tx1"/>
            </w14:solidFill>
          </w14:textFill>
        </w:rPr>
        <w:t>Secretaria Municipal de Assistência, Esporte e Envelhecimento Saudável</w:t>
      </w:r>
    </w:p>
    <w:p w14:paraId="1BD03859">
      <w:pPr>
        <w:spacing w:before="288" w:beforeLines="120" w:after="288" w:afterLines="120" w:line="288" w:lineRule="auto"/>
        <w:contextualSpacing/>
        <w:jc w:val="center"/>
        <w:rPr>
          <w:rFonts w:eastAsia="MS Mincho" w:asciiTheme="minorHAnsi" w:hAnsiTheme="minorHAnsi" w:cstheme="minorHAnsi"/>
          <w:b/>
          <w:color w:val="FF0000"/>
          <w:sz w:val="24"/>
          <w:szCs w:val="24"/>
        </w:rPr>
      </w:pPr>
    </w:p>
    <w:p w14:paraId="1E0E784A">
      <w:pPr>
        <w:spacing w:before="288" w:beforeLines="120" w:after="288" w:afterLines="120" w:line="288" w:lineRule="auto"/>
        <w:contextualSpacing/>
        <w:jc w:val="center"/>
        <w:rPr>
          <w:rFonts w:eastAsia="MS Mincho" w:asciiTheme="minorHAnsi" w:hAnsiTheme="minorHAnsi" w:cstheme="minorHAnsi"/>
          <w:b/>
          <w:color w:val="FF0000"/>
          <w:sz w:val="24"/>
          <w:szCs w:val="24"/>
        </w:rPr>
      </w:pPr>
    </w:p>
    <w:p w14:paraId="57E9D979">
      <w:pPr>
        <w:spacing w:before="288" w:beforeLines="120" w:after="288" w:afterLines="120" w:line="288" w:lineRule="auto"/>
        <w:contextualSpacing/>
        <w:rPr>
          <w:rFonts w:eastAsia="MS Mincho" w:asciiTheme="minorHAnsi" w:hAnsiTheme="minorHAnsi" w:cstheme="minorHAnsi"/>
          <w:b/>
          <w:color w:val="FF0000"/>
          <w:sz w:val="24"/>
          <w:szCs w:val="24"/>
        </w:rPr>
      </w:pPr>
    </w:p>
    <w:p w14:paraId="4148D465">
      <w:pPr>
        <w:spacing w:before="288" w:beforeLines="120" w:after="288" w:afterLines="120" w:line="288" w:lineRule="auto"/>
        <w:contextualSpacing/>
        <w:jc w:val="center"/>
        <w:rPr>
          <w:rFonts w:eastAsia="MS Mincho"/>
          <w:b/>
          <w:sz w:val="24"/>
          <w:szCs w:val="24"/>
        </w:rPr>
      </w:pPr>
      <w:r>
        <w:rPr>
          <w:rFonts w:eastAsia="MS Mincho"/>
          <w:b/>
          <w:sz w:val="24"/>
          <w:szCs w:val="24"/>
        </w:rPr>
        <w:t xml:space="preserve">ANEXO I </w:t>
      </w:r>
    </w:p>
    <w:p w14:paraId="6FBB2361">
      <w:pPr>
        <w:spacing w:before="288" w:beforeLines="120" w:after="288" w:afterLines="120" w:line="288" w:lineRule="auto"/>
        <w:contextualSpacing/>
        <w:jc w:val="center"/>
        <w:rPr>
          <w:rFonts w:eastAsia="MS Mincho" w:asciiTheme="minorHAnsi" w:hAnsiTheme="minorHAnsi" w:cstheme="minorHAnsi"/>
          <w:b/>
          <w:sz w:val="24"/>
          <w:szCs w:val="24"/>
        </w:rPr>
      </w:pPr>
    </w:p>
    <w:p w14:paraId="2208ED93">
      <w:pPr>
        <w:spacing w:line="368" w:lineRule="auto"/>
        <w:ind w:left="720" w:right="16"/>
        <w:rPr>
          <w:b/>
          <w:sz w:val="24"/>
          <w:szCs w:val="24"/>
          <w:u w:val="single"/>
        </w:rPr>
      </w:pPr>
      <w:r>
        <w:rPr>
          <w:b/>
          <w:sz w:val="24"/>
          <w:szCs w:val="24"/>
        </w:rPr>
        <w:t xml:space="preserve">                                     </w:t>
      </w:r>
      <w:r>
        <w:rPr>
          <w:b/>
          <w:sz w:val="24"/>
          <w:szCs w:val="24"/>
          <w:highlight w:val="yellow"/>
          <w:u w:val="single"/>
        </w:rPr>
        <w:t>TERMO DE REFERÊNCIA</w:t>
      </w:r>
    </w:p>
    <w:p w14:paraId="5F75232B">
      <w:pPr>
        <w:spacing w:line="368" w:lineRule="auto"/>
        <w:ind w:left="720" w:right="16"/>
        <w:rPr>
          <w:b/>
          <w:sz w:val="24"/>
          <w:szCs w:val="24"/>
          <w:u w:val="single"/>
        </w:rPr>
      </w:pPr>
    </w:p>
    <w:p w14:paraId="7C108341">
      <w:pPr>
        <w:spacing w:line="368" w:lineRule="auto"/>
        <w:ind w:left="720" w:right="16"/>
        <w:rPr>
          <w:b/>
          <w:bCs/>
          <w:color w:val="000000"/>
          <w:sz w:val="24"/>
          <w:szCs w:val="24"/>
          <w:u w:val="single"/>
        </w:rPr>
      </w:pPr>
      <w:r>
        <w:rPr>
          <w:b/>
          <w:bCs/>
          <w:color w:val="000000"/>
          <w:sz w:val="24"/>
          <w:szCs w:val="24"/>
        </w:rPr>
        <w:t>TERMO DE REFERÊNCIA, </w:t>
      </w:r>
      <w:r>
        <w:rPr>
          <w:b/>
          <w:bCs/>
          <w:color w:val="000000"/>
          <w:sz w:val="24"/>
          <w:szCs w:val="24"/>
          <w:u w:val="single"/>
        </w:rPr>
        <w:t>PARA AQUISIÇÃO DE VEÍCULO DE 7 LUGARES, PARA ATENDER A SECRETARIA MUNICIPAL DE ASSISTÊNCIA, ESPORTE, E ENVELHECIMENTO SAUDÁVEL.</w:t>
      </w:r>
    </w:p>
    <w:p w14:paraId="6DEF7699">
      <w:pPr>
        <w:spacing w:before="288" w:beforeLines="120" w:after="288" w:afterLines="120" w:line="288" w:lineRule="auto"/>
        <w:rPr>
          <w:sz w:val="24"/>
          <w:szCs w:val="24"/>
        </w:rPr>
      </w:pPr>
      <w:r>
        <w:rPr>
          <w:sz w:val="24"/>
          <w:szCs w:val="24"/>
          <w:highlight w:val="yellow"/>
        </w:rPr>
        <w:t>Havendo qualquer discordância entre a descrição e a unidade de medida do CATMAT e a do Edital, prevalecerá à descrição e a unidade de medida constante no Edital.</w:t>
      </w:r>
    </w:p>
    <w:p w14:paraId="0809BEB1">
      <w:pPr>
        <w:pStyle w:val="24"/>
        <w:spacing w:before="0" w:beforeAutospacing="0" w:after="0" w:afterAutospacing="0"/>
        <w:ind w:left="364"/>
        <w:rPr>
          <w:color w:val="000000"/>
          <w:sz w:val="27"/>
          <w:szCs w:val="27"/>
        </w:rPr>
      </w:pPr>
      <w:r>
        <w:rPr>
          <w:rStyle w:val="11"/>
          <w:color w:val="000000"/>
          <w:sz w:val="27"/>
          <w:szCs w:val="27"/>
        </w:rPr>
        <w:t>1  </w:t>
      </w:r>
      <w:r>
        <w:rPr>
          <w:rStyle w:val="11"/>
          <w:color w:val="000000"/>
          <w:sz w:val="27"/>
          <w:szCs w:val="27"/>
          <w:shd w:val="clear" w:color="auto" w:fill="FFFF00"/>
        </w:rPr>
        <w:t>– OBJETO:</w:t>
      </w:r>
    </w:p>
    <w:p w14:paraId="78E533DC">
      <w:pPr>
        <w:pStyle w:val="24"/>
        <w:ind w:left="604"/>
        <w:rPr>
          <w:color w:val="000000"/>
        </w:rPr>
      </w:pPr>
      <w:r>
        <w:rPr>
          <w:color w:val="000000"/>
        </w:rPr>
        <w:t>1.1      </w:t>
      </w:r>
      <w:r>
        <w:rPr>
          <w:rStyle w:val="11"/>
          <w:color w:val="000000"/>
        </w:rPr>
        <w:t>- REGISTRO DE PREÇO:</w:t>
      </w:r>
    </w:p>
    <w:p w14:paraId="0C037B88">
      <w:pPr>
        <w:pStyle w:val="24"/>
        <w:ind w:right="180"/>
        <w:rPr>
          <w:color w:val="000000"/>
        </w:rPr>
      </w:pPr>
      <w:r>
        <w:rPr>
          <w:color w:val="000000"/>
        </w:rPr>
        <w:t>1.2          Visando a futura e eventual aquisição de veículo de 7 (sete) lugares, tipo SUV, conforme condições e especificações contidas neste Termo de Referência.</w:t>
      </w:r>
    </w:p>
    <w:p w14:paraId="251D021F">
      <w:pPr>
        <w:pStyle w:val="24"/>
        <w:spacing w:before="0" w:beforeAutospacing="0" w:after="0" w:afterAutospacing="0"/>
        <w:rPr>
          <w:color w:val="000000"/>
        </w:rPr>
      </w:pPr>
      <w:r>
        <w:rPr>
          <w:color w:val="000000"/>
        </w:rPr>
        <w:t> </w:t>
      </w:r>
    </w:p>
    <w:p w14:paraId="64E71788">
      <w:pPr>
        <w:pStyle w:val="24"/>
        <w:rPr>
          <w:b/>
          <w:color w:val="000000"/>
        </w:rPr>
      </w:pPr>
      <w:r>
        <w:rPr>
          <w:b/>
          <w:color w:val="000000"/>
        </w:rPr>
        <w:t>2  </w:t>
      </w:r>
      <w:r>
        <w:rPr>
          <w:b/>
          <w:color w:val="000000"/>
          <w:shd w:val="clear" w:color="auto" w:fill="FFFF00"/>
        </w:rPr>
        <w:t>- DA PADRONIZAÇÃO:</w:t>
      </w:r>
    </w:p>
    <w:p w14:paraId="107EA60F">
      <w:pPr>
        <w:pStyle w:val="24"/>
        <w:ind w:right="150"/>
        <w:rPr>
          <w:color w:val="000000"/>
        </w:rPr>
      </w:pPr>
      <w:r>
        <w:rPr>
          <w:color w:val="000000"/>
        </w:rPr>
        <w:t>2.1  - A contratação se dará em observância ao princípio da padronização, em consonância com o disposto no inciso IV do art. 19 da Lei 14.133/2021.</w:t>
      </w:r>
    </w:p>
    <w:p w14:paraId="65B54545">
      <w:pPr>
        <w:pStyle w:val="24"/>
        <w:spacing w:before="0" w:beforeAutospacing="0" w:after="0" w:afterAutospacing="0"/>
        <w:rPr>
          <w:color w:val="000000"/>
        </w:rPr>
      </w:pPr>
      <w:r>
        <w:rPr>
          <w:color w:val="000000"/>
        </w:rPr>
        <w:t> </w:t>
      </w:r>
    </w:p>
    <w:p w14:paraId="762F4E44">
      <w:pPr>
        <w:pStyle w:val="24"/>
        <w:spacing w:before="204" w:beforeAutospacing="0" w:after="0" w:afterAutospacing="0"/>
        <w:rPr>
          <w:color w:val="000000"/>
        </w:rPr>
      </w:pPr>
      <w:r>
        <w:rPr>
          <w:color w:val="000000"/>
        </w:rPr>
        <w:t> </w:t>
      </w:r>
    </w:p>
    <w:p w14:paraId="0FDA7D9E">
      <w:pPr>
        <w:pStyle w:val="24"/>
        <w:rPr>
          <w:b/>
          <w:color w:val="000000"/>
        </w:rPr>
      </w:pPr>
      <w:r>
        <w:rPr>
          <w:b/>
          <w:color w:val="000000"/>
        </w:rPr>
        <w:t>3  </w:t>
      </w:r>
      <w:r>
        <w:rPr>
          <w:b/>
          <w:color w:val="000000"/>
          <w:shd w:val="clear" w:color="auto" w:fill="FFFF00"/>
        </w:rPr>
        <w:t>- DA NATUREZA DO OBJETO:</w:t>
      </w:r>
    </w:p>
    <w:p w14:paraId="4C11D410">
      <w:pPr>
        <w:pStyle w:val="24"/>
        <w:ind w:right="123" w:firstLine="72"/>
        <w:rPr>
          <w:color w:val="000000"/>
        </w:rPr>
      </w:pPr>
      <w:r>
        <w:rPr>
          <w:color w:val="000000"/>
        </w:rPr>
        <w:t>3.1   - O objeto desta contratação não se enquadra como sendo de bem de luxo, sendo caracterizados como comum;</w:t>
      </w:r>
    </w:p>
    <w:p w14:paraId="63015675">
      <w:pPr>
        <w:pStyle w:val="24"/>
        <w:rPr>
          <w:b/>
          <w:color w:val="000000"/>
        </w:rPr>
      </w:pPr>
      <w:r>
        <w:rPr>
          <w:b/>
          <w:color w:val="000000"/>
        </w:rPr>
        <w:t>4  </w:t>
      </w:r>
      <w:r>
        <w:rPr>
          <w:b/>
          <w:color w:val="000000"/>
          <w:shd w:val="clear" w:color="auto" w:fill="FFFF00"/>
        </w:rPr>
        <w:t>- DESCRIÇÃO E ESPECIFICAÇÃO DO OBJETO:</w:t>
      </w:r>
    </w:p>
    <w:p w14:paraId="455EAEE1">
      <w:pPr>
        <w:pStyle w:val="24"/>
        <w:spacing w:before="18" w:beforeAutospacing="0" w:after="0" w:afterAutospacing="0"/>
        <w:rPr>
          <w:color w:val="000000"/>
        </w:rPr>
      </w:pPr>
      <w:r>
        <w:rPr>
          <w:rStyle w:val="11"/>
          <w:color w:val="000000"/>
        </w:rPr>
        <w:t> </w:t>
      </w:r>
    </w:p>
    <w:tbl>
      <w:tblPr>
        <w:tblStyle w:val="10"/>
        <w:tblW w:w="0" w:type="auto"/>
        <w:tblInd w:w="931" w:type="dxa"/>
        <w:tblLayout w:type="autofit"/>
        <w:tblCellMar>
          <w:top w:w="0" w:type="dxa"/>
          <w:left w:w="0" w:type="dxa"/>
          <w:bottom w:w="0" w:type="dxa"/>
          <w:right w:w="0" w:type="dxa"/>
        </w:tblCellMar>
      </w:tblPr>
      <w:tblGrid>
        <w:gridCol w:w="778"/>
        <w:gridCol w:w="3953"/>
        <w:gridCol w:w="1299"/>
        <w:gridCol w:w="1817"/>
      </w:tblGrid>
      <w:tr w14:paraId="4505BA53">
        <w:tblPrEx>
          <w:tblCellMar>
            <w:top w:w="0" w:type="dxa"/>
            <w:left w:w="0" w:type="dxa"/>
            <w:bottom w:w="0" w:type="dxa"/>
            <w:right w:w="0" w:type="dxa"/>
          </w:tblCellMar>
        </w:tblPrEx>
        <w:trPr>
          <w:trHeight w:val="273" w:hRule="atLeast"/>
        </w:trPr>
        <w:tc>
          <w:tcPr>
            <w:tcW w:w="924" w:type="dxa"/>
            <w:tcBorders>
              <w:top w:val="single" w:color="000000" w:sz="8" w:space="0"/>
              <w:left w:val="single" w:color="000000" w:sz="8" w:space="0"/>
              <w:bottom w:val="single" w:color="000000" w:sz="8" w:space="0"/>
              <w:right w:val="single" w:color="000000" w:sz="8" w:space="0"/>
            </w:tcBorders>
          </w:tcPr>
          <w:p w14:paraId="5C67C88D">
            <w:pPr>
              <w:pStyle w:val="24"/>
              <w:spacing w:before="0" w:beforeAutospacing="0" w:after="0" w:afterAutospacing="0" w:line="253" w:lineRule="atLeast"/>
            </w:pPr>
            <w:r>
              <w:rPr>
                <w:rStyle w:val="11"/>
              </w:rPr>
              <w:t>ITEM</w:t>
            </w:r>
          </w:p>
        </w:tc>
        <w:tc>
          <w:tcPr>
            <w:tcW w:w="4753" w:type="dxa"/>
            <w:tcBorders>
              <w:top w:val="single" w:color="000000" w:sz="8" w:space="0"/>
              <w:left w:val="nil"/>
              <w:bottom w:val="single" w:color="000000" w:sz="8" w:space="0"/>
              <w:right w:val="single" w:color="000000" w:sz="8" w:space="0"/>
            </w:tcBorders>
          </w:tcPr>
          <w:p w14:paraId="1485A8C2">
            <w:pPr>
              <w:pStyle w:val="24"/>
              <w:spacing w:before="0" w:beforeAutospacing="0" w:after="0" w:afterAutospacing="0" w:line="253" w:lineRule="atLeast"/>
              <w:ind w:left="1853"/>
            </w:pPr>
            <w:r>
              <w:rPr>
                <w:rStyle w:val="11"/>
              </w:rPr>
              <w:t>DESCRIÇÃO</w:t>
            </w:r>
          </w:p>
        </w:tc>
        <w:tc>
          <w:tcPr>
            <w:tcW w:w="1356" w:type="dxa"/>
            <w:tcBorders>
              <w:top w:val="single" w:color="000000" w:sz="8" w:space="0"/>
              <w:left w:val="nil"/>
              <w:bottom w:val="single" w:color="000000" w:sz="8" w:space="0"/>
              <w:right w:val="single" w:color="000000" w:sz="8" w:space="0"/>
            </w:tcBorders>
          </w:tcPr>
          <w:p w14:paraId="66A7E4A7">
            <w:pPr>
              <w:pStyle w:val="24"/>
              <w:spacing w:before="0" w:beforeAutospacing="0" w:after="0" w:afterAutospacing="0" w:line="253" w:lineRule="atLeast"/>
              <w:ind w:left="113"/>
            </w:pPr>
            <w:r>
              <w:rPr>
                <w:rStyle w:val="11"/>
              </w:rPr>
              <w:t>UNIDADE</w:t>
            </w:r>
          </w:p>
        </w:tc>
        <w:tc>
          <w:tcPr>
            <w:tcW w:w="1872" w:type="dxa"/>
            <w:tcBorders>
              <w:top w:val="single" w:color="000000" w:sz="8" w:space="0"/>
              <w:left w:val="nil"/>
              <w:bottom w:val="single" w:color="000000" w:sz="8" w:space="0"/>
              <w:right w:val="single" w:color="000000" w:sz="8" w:space="0"/>
            </w:tcBorders>
          </w:tcPr>
          <w:p w14:paraId="51FBD420">
            <w:pPr>
              <w:pStyle w:val="24"/>
              <w:spacing w:before="0" w:beforeAutospacing="0" w:after="0" w:afterAutospacing="0" w:line="253" w:lineRule="atLeast"/>
              <w:ind w:left="113"/>
            </w:pPr>
            <w:r>
              <w:rPr>
                <w:rStyle w:val="11"/>
              </w:rPr>
              <w:t>QUANTIDADE</w:t>
            </w:r>
          </w:p>
        </w:tc>
      </w:tr>
    </w:tbl>
    <w:p w14:paraId="07C9CECF">
      <w:pPr>
        <w:pStyle w:val="24"/>
        <w:spacing w:before="7" w:beforeAutospacing="0" w:after="0" w:afterAutospacing="0"/>
        <w:rPr>
          <w:color w:val="000000"/>
        </w:rPr>
      </w:pPr>
      <w:r>
        <w:rPr>
          <w:rStyle w:val="11"/>
          <w:color w:val="000000"/>
        </w:rPr>
        <w:t> </w:t>
      </w:r>
    </w:p>
    <w:tbl>
      <w:tblPr>
        <w:tblStyle w:val="10"/>
        <w:tblW w:w="0" w:type="auto"/>
        <w:tblInd w:w="931" w:type="dxa"/>
        <w:tblLayout w:type="autofit"/>
        <w:tblCellMar>
          <w:top w:w="0" w:type="dxa"/>
          <w:left w:w="0" w:type="dxa"/>
          <w:bottom w:w="0" w:type="dxa"/>
          <w:right w:w="0" w:type="dxa"/>
        </w:tblCellMar>
      </w:tblPr>
      <w:tblGrid>
        <w:gridCol w:w="767"/>
        <w:gridCol w:w="4140"/>
        <w:gridCol w:w="1330"/>
        <w:gridCol w:w="1610"/>
      </w:tblGrid>
      <w:tr w14:paraId="0F21279F">
        <w:trPr>
          <w:trHeight w:val="5554" w:hRule="atLeast"/>
        </w:trPr>
        <w:tc>
          <w:tcPr>
            <w:tcW w:w="924" w:type="dxa"/>
            <w:tcBorders>
              <w:top w:val="single" w:color="000000" w:sz="8" w:space="0"/>
              <w:left w:val="single" w:color="000000" w:sz="8" w:space="0"/>
              <w:bottom w:val="single" w:color="000000" w:sz="8" w:space="0"/>
              <w:right w:val="single" w:color="000000" w:sz="8" w:space="0"/>
            </w:tcBorders>
          </w:tcPr>
          <w:p w14:paraId="640F87B4">
            <w:pPr>
              <w:pStyle w:val="24"/>
              <w:spacing w:before="0" w:beforeAutospacing="0" w:after="0" w:afterAutospacing="0" w:line="266" w:lineRule="atLeast"/>
            </w:pPr>
            <w:r>
              <w:t>1</w:t>
            </w:r>
          </w:p>
        </w:tc>
        <w:tc>
          <w:tcPr>
            <w:tcW w:w="4753" w:type="dxa"/>
            <w:tcBorders>
              <w:top w:val="single" w:color="000000" w:sz="8" w:space="0"/>
              <w:left w:val="nil"/>
              <w:bottom w:val="single" w:color="000000" w:sz="8" w:space="0"/>
              <w:right w:val="single" w:color="000000" w:sz="8" w:space="0"/>
            </w:tcBorders>
          </w:tcPr>
          <w:p w14:paraId="42D6008C">
            <w:pPr>
              <w:pStyle w:val="24"/>
              <w:spacing w:before="0" w:beforeAutospacing="0" w:after="0" w:afterAutospacing="0"/>
              <w:ind w:right="93"/>
              <w:jc w:val="both"/>
            </w:pPr>
            <w:r>
              <w:rPr>
                <w:rStyle w:val="11"/>
              </w:rPr>
              <w:t>Veículo automotor de 7 (sete) lugares, 0 km, cor branca, ano modelo: 2026/2026, ou superior, direção elétrica, motor 1.0 turbo flex, câmbio CVT de 7 marchas, central multimídia de 10 polegadas, 6 alto falantes, ar-condicionado central, porta malas de 398 litros, 1 porta USB de recarga/dados e 2 portas USB para carregamento rápido na 2ª fila, </w:t>
            </w:r>
            <w:r>
              <w:rPr>
                <w:rStyle w:val="11"/>
                <w:color w:val="535C7D"/>
              </w:rPr>
              <w:t>b</w:t>
            </w:r>
            <w:r>
              <w:rPr>
                <w:rStyle w:val="11"/>
              </w:rPr>
              <w:t>anco do motorista com ajuste de altura, bancos traseiros rebatíveis e maçanetas na cor da carroceria, tanque de combustível de 47 litros, ar-condicionado, vidros elétricos, banco do motorista com ajuste de altura, airbags laterais, rodas de liga leve de 16”, sensor de estacionamento traseiro, e demais itens de série exigidos pelo CONTRAN, garantia total de 36 meses.</w:t>
            </w:r>
          </w:p>
        </w:tc>
        <w:tc>
          <w:tcPr>
            <w:tcW w:w="1356" w:type="dxa"/>
            <w:tcBorders>
              <w:top w:val="single" w:color="000000" w:sz="8" w:space="0"/>
              <w:left w:val="nil"/>
              <w:bottom w:val="single" w:color="000000" w:sz="8" w:space="0"/>
              <w:right w:val="single" w:color="000000" w:sz="8" w:space="0"/>
            </w:tcBorders>
          </w:tcPr>
          <w:p w14:paraId="26DFD3E0">
            <w:pPr>
              <w:pStyle w:val="24"/>
              <w:spacing w:before="0" w:beforeAutospacing="0" w:after="0" w:afterAutospacing="0" w:line="266" w:lineRule="atLeast"/>
              <w:ind w:left="113"/>
            </w:pPr>
            <w:r>
              <w:t>UNIDADE</w:t>
            </w:r>
          </w:p>
        </w:tc>
        <w:tc>
          <w:tcPr>
            <w:tcW w:w="1872" w:type="dxa"/>
            <w:tcBorders>
              <w:top w:val="single" w:color="000000" w:sz="8" w:space="0"/>
              <w:left w:val="nil"/>
              <w:bottom w:val="single" w:color="000000" w:sz="8" w:space="0"/>
              <w:right w:val="single" w:color="000000" w:sz="8" w:space="0"/>
            </w:tcBorders>
          </w:tcPr>
          <w:p w14:paraId="73D00A1E">
            <w:pPr>
              <w:pStyle w:val="24"/>
              <w:spacing w:before="0" w:beforeAutospacing="0" w:after="0" w:afterAutospacing="0" w:line="266" w:lineRule="atLeast"/>
              <w:ind w:right="307"/>
              <w:jc w:val="center"/>
            </w:pPr>
            <w:r>
              <w:t>01</w:t>
            </w:r>
          </w:p>
        </w:tc>
      </w:tr>
    </w:tbl>
    <w:p w14:paraId="60503709">
      <w:pPr>
        <w:pStyle w:val="24"/>
        <w:spacing w:before="0" w:beforeAutospacing="0" w:after="0" w:afterAutospacing="0"/>
        <w:rPr>
          <w:color w:val="000000"/>
        </w:rPr>
      </w:pPr>
      <w:r>
        <w:rPr>
          <w:rStyle w:val="11"/>
          <w:color w:val="000000"/>
        </w:rPr>
        <w:t> </w:t>
      </w:r>
    </w:p>
    <w:p w14:paraId="005C2F50">
      <w:pPr>
        <w:pStyle w:val="24"/>
        <w:rPr>
          <w:b/>
          <w:color w:val="000000"/>
        </w:rPr>
      </w:pPr>
      <w:r>
        <w:rPr>
          <w:b/>
          <w:color w:val="000000"/>
        </w:rPr>
        <w:t>5  </w:t>
      </w:r>
      <w:r>
        <w:rPr>
          <w:b/>
          <w:color w:val="000000"/>
          <w:shd w:val="clear" w:color="auto" w:fill="FFFF00"/>
        </w:rPr>
        <w:t>- PRAZO DE VIGÊNCIA:</w:t>
      </w:r>
    </w:p>
    <w:p w14:paraId="6B8FB7C6">
      <w:pPr>
        <w:pStyle w:val="24"/>
        <w:ind w:right="124"/>
        <w:rPr>
          <w:color w:val="000000"/>
        </w:rPr>
      </w:pPr>
      <w:r>
        <w:rPr>
          <w:color w:val="000000"/>
        </w:rPr>
        <w:t>5.1   - O prazo de vigência da Ata de Registro de Preços será de 01 ano, contado a partir do primeiro dia útil subsequente à data de sua assinatura, podendo ser prorrogada por igual período, mediante a anuência do fornecedor, desde que comprovado o preço vantajoso;</w:t>
      </w:r>
    </w:p>
    <w:p w14:paraId="038A0B1D">
      <w:pPr>
        <w:pStyle w:val="24"/>
        <w:ind w:right="126" w:firstLine="120"/>
        <w:rPr>
          <w:color w:val="000000"/>
        </w:rPr>
      </w:pPr>
      <w:r>
        <w:rPr>
          <w:color w:val="000000"/>
        </w:rPr>
        <w:t>5.2     - 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p>
    <w:p w14:paraId="61D913DA">
      <w:pPr>
        <w:pStyle w:val="24"/>
        <w:spacing w:before="241" w:beforeAutospacing="0" w:after="0" w:afterAutospacing="0"/>
        <w:ind w:left="124" w:right="126" w:firstLine="156"/>
        <w:rPr>
          <w:color w:val="000000"/>
        </w:rPr>
      </w:pPr>
      <w:r>
        <w:rPr>
          <w:color w:val="000000"/>
        </w:rPr>
        <w:t>5.2.1     - Na formalização do contrato ou do instrumento substituto deverá haver a indicação da disponibilidade dos créditos orçamentários respectivos;</w:t>
      </w:r>
    </w:p>
    <w:p w14:paraId="5FDB7480">
      <w:pPr>
        <w:pStyle w:val="24"/>
        <w:ind w:right="121" w:firstLine="72"/>
        <w:rPr>
          <w:color w:val="000000"/>
        </w:rPr>
      </w:pPr>
      <w:r>
        <w:rPr>
          <w:color w:val="000000"/>
        </w:rPr>
        <w:t>5.2.2   - A contratação com os fornecedores registrados na ata será formalizada pelo órgão ou pela entidade interessada por intermédio de instrumento contratual, emissão de nota de empenho de despesa, autorização de compra ou outro instrumento hábil, conforme o art. 95 da Lei nº 14.133, de 2021;</w:t>
      </w:r>
    </w:p>
    <w:p w14:paraId="01113855">
      <w:pPr>
        <w:pStyle w:val="24"/>
        <w:spacing w:before="241" w:beforeAutospacing="0" w:after="0" w:afterAutospacing="0"/>
        <w:ind w:left="124" w:right="124" w:firstLine="108"/>
        <w:rPr>
          <w:color w:val="000000"/>
        </w:rPr>
      </w:pPr>
      <w:r>
        <w:rPr>
          <w:color w:val="000000"/>
        </w:rPr>
        <w:t>5.2.3    - Quando o instrumento contratual for substituído por emissão de nota de empenho de despesa, autorização de compra ou outro instrumento hábil, nos termos do art. 95 da Lei nº 14.133, de 2021, a minuta do contrato será parte integrante destes instrumentos para fins de observância dos requisitos previstos no art. 92 da nova Lei de licitações;</w:t>
      </w:r>
    </w:p>
    <w:p w14:paraId="0CAAC297">
      <w:pPr>
        <w:pStyle w:val="24"/>
        <w:ind w:right="129"/>
        <w:jc w:val="both"/>
        <w:rPr>
          <w:color w:val="000000"/>
        </w:rPr>
      </w:pPr>
      <w:r>
        <w:rPr>
          <w:color w:val="000000"/>
        </w:rPr>
        <w:t>5.2.3 - O instrumento contratual de que trata o item 5.2. deverá ser assinado no prazo de validade da ata de registro de preços.</w:t>
      </w:r>
    </w:p>
    <w:p w14:paraId="758E3D3E">
      <w:pPr>
        <w:pStyle w:val="24"/>
        <w:rPr>
          <w:b/>
          <w:color w:val="000000"/>
        </w:rPr>
      </w:pPr>
      <w:r>
        <w:rPr>
          <w:b/>
          <w:color w:val="000000"/>
        </w:rPr>
        <w:t>6  </w:t>
      </w:r>
      <w:r>
        <w:rPr>
          <w:b/>
          <w:color w:val="000000"/>
          <w:shd w:val="clear" w:color="auto" w:fill="FFFF00"/>
        </w:rPr>
        <w:t>- DA FUNDAMENTAÇÃO E DA DESCRIÇÃO DA NECESSIDADE DA CONTRATAÇÃO</w:t>
      </w:r>
      <w:r>
        <w:rPr>
          <w:b/>
          <w:color w:val="000000"/>
        </w:rPr>
        <w:t>: </w:t>
      </w:r>
      <w:r>
        <w:rPr>
          <w:color w:val="000000"/>
        </w:rPr>
        <w:t>(ART.6º, INCISO XXIII, ALÍNEA “B”, DA LEI Nº 14.133, DE 2021)</w:t>
      </w:r>
    </w:p>
    <w:p w14:paraId="6CD059E9">
      <w:pPr>
        <w:pStyle w:val="24"/>
        <w:spacing w:before="241" w:beforeAutospacing="0" w:after="0" w:afterAutospacing="0"/>
        <w:ind w:left="124" w:right="134"/>
        <w:rPr>
          <w:color w:val="000000"/>
        </w:rPr>
      </w:pPr>
      <w:r>
        <w:rPr>
          <w:color w:val="000000"/>
        </w:rPr>
        <w:t>6.1   - O veículo tipo SUV, permitirá que os servidores desta Secretaria, tenham acesso mais aos locais onde são necessários. Na área da Assistência Social, são de grande utilidade nas atividades que exigem a</w:t>
      </w:r>
    </w:p>
    <w:p w14:paraId="101634E9">
      <w:pPr>
        <w:pStyle w:val="24"/>
        <w:spacing w:before="62" w:beforeAutospacing="0"/>
        <w:jc w:val="both"/>
        <w:rPr>
          <w:color w:val="000000"/>
        </w:rPr>
      </w:pPr>
      <w:r>
        <w:rPr>
          <w:color w:val="000000"/>
        </w:rPr>
        <w:t>mobilidade de grandes volumes de materiais e equipes de suporte;</w:t>
      </w:r>
    </w:p>
    <w:p w14:paraId="3EF88C76">
      <w:pPr>
        <w:pStyle w:val="24"/>
        <w:spacing w:before="156" w:beforeAutospacing="0" w:after="0" w:afterAutospacing="0"/>
        <w:ind w:left="124" w:right="129"/>
        <w:rPr>
          <w:color w:val="000000"/>
        </w:rPr>
      </w:pPr>
      <w:r>
        <w:rPr>
          <w:color w:val="000000"/>
        </w:rPr>
        <w:t>6.2    - Em suma, a aquisição de veículo tipo SUV, pela Secretaria Municipal de Assistência, Esporte, e Envelhecimento Saudável, é uma necessidade urgente e importante, para a reestruturação da Secretaria, e trará benefícios significativos em termos de eficiência, eficácia, redução de custos, e promoção da sustentabilidade, também no que diz respeito a estrutura da gestão municipal.</w:t>
      </w:r>
    </w:p>
    <w:p w14:paraId="60315F16">
      <w:pPr>
        <w:pStyle w:val="24"/>
        <w:ind w:right="167"/>
        <w:rPr>
          <w:color w:val="000000"/>
        </w:rPr>
      </w:pPr>
      <w:r>
        <w:rPr>
          <w:rStyle w:val="11"/>
          <w:color w:val="000000"/>
        </w:rPr>
        <w:t>7   </w:t>
      </w:r>
      <w:r>
        <w:rPr>
          <w:rStyle w:val="11"/>
          <w:color w:val="000000"/>
          <w:shd w:val="clear" w:color="auto" w:fill="FFFF00"/>
        </w:rPr>
        <w:t>- DA DESCRIÇÃO DA SOLUÇÃO COMO UM TODO CONSIDERADO O CICLO DE VIDA DO</w:t>
      </w:r>
      <w:r>
        <w:rPr>
          <w:rStyle w:val="11"/>
          <w:color w:val="000000"/>
        </w:rPr>
        <w:t> </w:t>
      </w:r>
      <w:r>
        <w:rPr>
          <w:rStyle w:val="11"/>
          <w:color w:val="000000"/>
          <w:shd w:val="clear" w:color="auto" w:fill="FFFF00"/>
        </w:rPr>
        <w:t>OBJETO E DA ESPECIFICAÇÃO DO PRODUTO:</w:t>
      </w:r>
      <w:r>
        <w:rPr>
          <w:rStyle w:val="11"/>
          <w:color w:val="000000"/>
        </w:rPr>
        <w:t> </w:t>
      </w:r>
      <w:r>
        <w:rPr>
          <w:color w:val="000000"/>
        </w:rPr>
        <w:t>(ART. 6º, INCISO XXIII, ALÍNEA “C”, E ART. 40, §1º, INCISO I, DA LEI Nº 14.133, DE 2021)</w:t>
      </w:r>
    </w:p>
    <w:p w14:paraId="6119AF20">
      <w:pPr>
        <w:pStyle w:val="24"/>
        <w:spacing w:before="241" w:beforeAutospacing="0" w:after="0" w:afterAutospacing="0"/>
        <w:ind w:left="124" w:right="127"/>
        <w:rPr>
          <w:color w:val="000000"/>
        </w:rPr>
      </w:pPr>
      <w:r>
        <w:rPr>
          <w:color w:val="000000"/>
        </w:rPr>
        <w:t>7.1   – Considerando a natureza de bem comum do objeto que será adquirido, e como forma de assegurar a ampla competição entre os inúmeros fornecedores disponíveis no mercado, entendemos que a contratação deva se dar através de Processo Licitatório, na modalidade Pregão Eletrônico, com o critério de julgamento de menor preço por item, que atende aos preceitos de economicidade e transparência dispostos na Lei nº 14.133/2021. Pode-se observar que as aquisições deste tipo de objeto, são feitas costumeiramente por meio de contratações semelhantes a que se pretende adotar, cumprindo as respectivas exigências legais e normativas. De acordo com a pesquisa do mercado, os itens pretendidos são oferecidos por ampla gama de fornecedores, utilizando-se do Pregão Eletrônico na modalidade menor preço por item, a mais adequada para a aquisição desse tipo de objeto, uma vez que possibilitará a participação de um maior número de potenciais fornecedores, fazendo com que haja uma maior disputa e consequentemente a obtenção de valores menores.</w:t>
      </w:r>
    </w:p>
    <w:p w14:paraId="631B8296">
      <w:pPr>
        <w:pStyle w:val="24"/>
        <w:spacing w:before="193" w:beforeAutospacing="0" w:after="0" w:afterAutospacing="0"/>
        <w:ind w:left="124" w:right="122" w:firstLine="60"/>
        <w:jc w:val="both"/>
        <w:rPr>
          <w:color w:val="000000"/>
        </w:rPr>
      </w:pPr>
      <w:r>
        <w:rPr>
          <w:color w:val="000000"/>
        </w:rPr>
        <w:t>Nota-se ainda, que em alguns casos específicos, alguns órgãos públicos optam pela contratação desse tipo de objeto utilizando o procedimento auxiliar de registro de preços, contudo, para o presente caso, entendemos desnecessário já que a Administração tem o conhecimento da quantidade exata dos bens que pretende adquirir e é capaz de realizar o levantamento das necessidades de forma precisa e que possibilite desta forma uma entrega única. Ainda, ao optarmos pela entrega única teremos o ganho de economia de escala, o que possivelmente reduzirá o custo da aquisição se compararmos ao registro de preços, que os fornecedores realizam a previsão de venda no período de doze meses. Outro ponto a ressaltar é que no presente estudo, identificamos as especificações mínimas necessárias que os veículos deverão possuir para atender as necessidades elencadas. As marcas e ou modelos que eventualmente forem indicadas servirão como padrão referencial de qualidade, podendo ser entregues outras, desde que o fornecedor comprove a similaridade de funcionalidade. No que diz respeito à entrega dos veículos, esta deverá ser realizada no prazo de até </w:t>
      </w:r>
      <w:r>
        <w:rPr>
          <w:rStyle w:val="11"/>
          <w:color w:val="000000"/>
        </w:rPr>
        <w:t>15 (quinze) dias úteis</w:t>
      </w:r>
      <w:r>
        <w:rPr>
          <w:color w:val="000000"/>
        </w:rPr>
        <w:t>, na Secretaria Municipal de Assistência, Esporte, e Envelhecimento Saudável, na Rua Carneiro de Mendonça, nº 139, centro, Valença/RJ, no horário das 8h até às 17h, de segunda à sexta-feira, após a assinatura do contrato, emissão do EMPENHO e envio do mesmo para o e-mail indicado pelo fornecedor em sua proposta comercial. Os veículos deverão ainda apresentar todos os equipamentos exigidos pelo Código de Trânsito Brasileiro, e CONTRAN, e garantia total de no mínimo 36 (trinta e seis) meses.</w:t>
      </w:r>
    </w:p>
    <w:p w14:paraId="55F97C68">
      <w:pPr>
        <w:pStyle w:val="24"/>
        <w:spacing w:before="0" w:beforeAutospacing="0" w:after="0" w:afterAutospacing="0"/>
        <w:rPr>
          <w:color w:val="000000"/>
        </w:rPr>
      </w:pPr>
      <w:r>
        <w:rPr>
          <w:color w:val="000000"/>
        </w:rPr>
        <w:t> </w:t>
      </w:r>
    </w:p>
    <w:p w14:paraId="5CAA95D2">
      <w:pPr>
        <w:pStyle w:val="24"/>
        <w:rPr>
          <w:b/>
          <w:color w:val="000000"/>
        </w:rPr>
      </w:pPr>
      <w:r>
        <w:rPr>
          <w:b/>
          <w:color w:val="000000"/>
        </w:rPr>
        <w:t>8  </w:t>
      </w:r>
      <w:r>
        <w:rPr>
          <w:b/>
          <w:color w:val="000000"/>
          <w:shd w:val="clear" w:color="auto" w:fill="FFFF00"/>
        </w:rPr>
        <w:t>- REQUISITOS DA CONTRATAÇÃO</w:t>
      </w:r>
      <w:r>
        <w:rPr>
          <w:b/>
          <w:color w:val="000000"/>
        </w:rPr>
        <w:t>:</w:t>
      </w:r>
    </w:p>
    <w:p w14:paraId="17428D81">
      <w:pPr>
        <w:pStyle w:val="24"/>
        <w:spacing w:before="0" w:beforeAutospacing="0" w:after="0" w:afterAutospacing="0" w:line="446" w:lineRule="atLeast"/>
        <w:ind w:right="2022"/>
        <w:rPr>
          <w:color w:val="000000"/>
        </w:rPr>
      </w:pPr>
      <w:r>
        <w:rPr>
          <w:color w:val="000000"/>
        </w:rPr>
        <w:t>8.1  - Indicação de marcas ou modelos: (Art. 41, inciso I, da Lei nº 14.133, de 2021) 8.3.1 Na presente contratação NÃO será indicado marcas, características ou modelo(s);</w:t>
      </w:r>
    </w:p>
    <w:p w14:paraId="6F3B5D23">
      <w:pPr>
        <w:pStyle w:val="24"/>
        <w:spacing w:before="1" w:beforeAutospacing="0" w:after="0" w:afterAutospacing="0"/>
        <w:rPr>
          <w:color w:val="000000"/>
        </w:rPr>
      </w:pPr>
      <w:r>
        <w:rPr>
          <w:color w:val="000000"/>
        </w:rPr>
        <w:t>8.2  - Da vedação de marca/produto na aquisição do objeto:</w:t>
      </w:r>
    </w:p>
    <w:p w14:paraId="5370E84C">
      <w:pPr>
        <w:pStyle w:val="24"/>
        <w:ind w:right="121" w:firstLine="72"/>
        <w:rPr>
          <w:color w:val="000000"/>
        </w:rPr>
      </w:pPr>
      <w:r>
        <w:rPr>
          <w:color w:val="000000"/>
        </w:rPr>
        <w:t>8.2.1   - Para a contratação do objeto NÃO haverá vedação ou restrições com relação ao emprego de marca ou produto de bens empregados em sua execução;</w:t>
      </w:r>
    </w:p>
    <w:p w14:paraId="2D8C8AB2">
      <w:pPr>
        <w:pStyle w:val="24"/>
        <w:spacing w:before="62" w:beforeAutospacing="0" w:after="0" w:afterAutospacing="0"/>
        <w:rPr>
          <w:color w:val="000000"/>
        </w:rPr>
      </w:pPr>
      <w:r>
        <w:rPr>
          <w:color w:val="000000"/>
        </w:rPr>
        <w:t>8.3  - Da exigência de carta de solidariedade:</w:t>
      </w:r>
    </w:p>
    <w:p w14:paraId="03B19566">
      <w:pPr>
        <w:pStyle w:val="24"/>
        <w:rPr>
          <w:color w:val="000000"/>
        </w:rPr>
      </w:pPr>
      <w:r>
        <w:rPr>
          <w:color w:val="000000"/>
        </w:rPr>
        <w:t>8.3.1  - Não será exigido Carta de Solidariedade emitida pelo fabricante.</w:t>
      </w:r>
    </w:p>
    <w:p w14:paraId="4EBD2F83">
      <w:pPr>
        <w:pStyle w:val="24"/>
        <w:rPr>
          <w:color w:val="000000"/>
        </w:rPr>
      </w:pPr>
      <w:r>
        <w:rPr>
          <w:color w:val="000000"/>
        </w:rPr>
        <w:t>8.4  – Subcontratação:</w:t>
      </w:r>
    </w:p>
    <w:p w14:paraId="4AD49D0A">
      <w:pPr>
        <w:pStyle w:val="24"/>
        <w:rPr>
          <w:color w:val="000000"/>
        </w:rPr>
      </w:pPr>
      <w:r>
        <w:rPr>
          <w:color w:val="000000"/>
        </w:rPr>
        <w:t>8.4.1  - Não será admitida a subcontratação do objeto contratual.</w:t>
      </w:r>
    </w:p>
    <w:p w14:paraId="59996A6A">
      <w:pPr>
        <w:pStyle w:val="24"/>
        <w:rPr>
          <w:color w:val="000000"/>
        </w:rPr>
      </w:pPr>
      <w:r>
        <w:rPr>
          <w:color w:val="000000"/>
        </w:rPr>
        <w:t>8.5  - Garantia da contratação:</w:t>
      </w:r>
    </w:p>
    <w:p w14:paraId="6D943FEB">
      <w:pPr>
        <w:pStyle w:val="24"/>
        <w:spacing w:before="241" w:beforeAutospacing="0" w:after="0" w:afterAutospacing="0"/>
        <w:rPr>
          <w:color w:val="000000"/>
        </w:rPr>
      </w:pPr>
      <w:r>
        <w:rPr>
          <w:color w:val="000000"/>
        </w:rPr>
        <w:t>8.5.1  - Não haverá exigência de garantia contratual da execução.</w:t>
      </w:r>
    </w:p>
    <w:p w14:paraId="6B650B49">
      <w:pPr>
        <w:pStyle w:val="24"/>
        <w:rPr>
          <w:color w:val="000000"/>
        </w:rPr>
      </w:pPr>
      <w:r>
        <w:rPr>
          <w:color w:val="000000"/>
        </w:rPr>
        <w:t>8.6  - Da exigência de amostra:</w:t>
      </w:r>
    </w:p>
    <w:p w14:paraId="1E6EE589">
      <w:pPr>
        <w:pStyle w:val="24"/>
        <w:rPr>
          <w:color w:val="000000"/>
        </w:rPr>
      </w:pPr>
      <w:r>
        <w:rPr>
          <w:color w:val="000000"/>
        </w:rPr>
        <w:t>8.6.1  - Não haverá exigência de amostra.</w:t>
      </w:r>
    </w:p>
    <w:p w14:paraId="048BF8DF">
      <w:pPr>
        <w:pStyle w:val="24"/>
        <w:spacing w:before="0" w:beforeAutospacing="0" w:after="0" w:afterAutospacing="0"/>
        <w:rPr>
          <w:color w:val="000000"/>
        </w:rPr>
      </w:pPr>
      <w:r>
        <w:rPr>
          <w:color w:val="000000"/>
        </w:rPr>
        <w:t> </w:t>
      </w:r>
    </w:p>
    <w:p w14:paraId="08D74088">
      <w:pPr>
        <w:pStyle w:val="24"/>
        <w:rPr>
          <w:b/>
          <w:color w:val="000000"/>
        </w:rPr>
      </w:pPr>
      <w:r>
        <w:rPr>
          <w:b/>
          <w:color w:val="000000"/>
        </w:rPr>
        <w:t>9  </w:t>
      </w:r>
      <w:r>
        <w:rPr>
          <w:b/>
          <w:color w:val="000000"/>
          <w:shd w:val="clear" w:color="auto" w:fill="FFFF00"/>
        </w:rPr>
        <w:t>- MODELO DE EXECUÇÃO DO OBJETO:</w:t>
      </w:r>
    </w:p>
    <w:p w14:paraId="44D359C1">
      <w:pPr>
        <w:pStyle w:val="24"/>
        <w:rPr>
          <w:color w:val="000000"/>
        </w:rPr>
      </w:pPr>
      <w:r>
        <w:rPr>
          <w:color w:val="000000"/>
        </w:rPr>
        <w:t>9.1  - CONDIÇÕES DE EXECUÇÃO:</w:t>
      </w:r>
    </w:p>
    <w:p w14:paraId="7B270B5D">
      <w:pPr>
        <w:pStyle w:val="24"/>
        <w:spacing w:before="241" w:beforeAutospacing="0" w:after="0" w:afterAutospacing="0"/>
        <w:ind w:left="124" w:right="124" w:firstLine="84"/>
        <w:rPr>
          <w:color w:val="000000"/>
        </w:rPr>
      </w:pPr>
      <w:r>
        <w:rPr>
          <w:color w:val="000000"/>
        </w:rPr>
        <w:t>9.1.1   - O prazo de entrega do item (veículo) é de 40 (quarenta) dias, contado da emissão de Requisição formalizada pelo Contratante, em remessa única ou em quantitativo especificado pelo Contratante (Secretaria);</w:t>
      </w:r>
    </w:p>
    <w:p w14:paraId="23EBEF37">
      <w:pPr>
        <w:pStyle w:val="24"/>
        <w:ind w:right="125" w:firstLine="108"/>
        <w:rPr>
          <w:color w:val="000000"/>
        </w:rPr>
      </w:pPr>
      <w:r>
        <w:rPr>
          <w:color w:val="000000"/>
        </w:rPr>
        <w:t>9.1.2    - Caso não seja possível a entrega na data avençada, o contratado deverá comunicar as razões respectivas com antecedência de pelo menos 10 (dez) dias, para que o pleito de prorrogação de prazo seja analisado pela contratante, ressalvadas situações de caso fortuito e força maior;</w:t>
      </w:r>
    </w:p>
    <w:p w14:paraId="2D44D158">
      <w:pPr>
        <w:pStyle w:val="24"/>
        <w:ind w:right="124" w:firstLine="132"/>
        <w:rPr>
          <w:color w:val="000000"/>
        </w:rPr>
      </w:pPr>
      <w:r>
        <w:rPr>
          <w:color w:val="000000"/>
        </w:rPr>
        <w:t>9.1.3     – O veículo deverá ser entregue na Sede da Secretaria Municipal de Assistência, Esporte, e Envelhecimento Saudável, na Rua Carneiro de Mendonça, nº 139, centro, nesta, em horário de expediente, de segunda à sexta-feira, de 08h às 17h;</w:t>
      </w:r>
    </w:p>
    <w:p w14:paraId="441FF7EF">
      <w:pPr>
        <w:pStyle w:val="24"/>
        <w:spacing w:before="241" w:beforeAutospacing="0" w:after="0" w:afterAutospacing="0"/>
        <w:ind w:left="604"/>
        <w:rPr>
          <w:color w:val="000000"/>
        </w:rPr>
      </w:pPr>
      <w:r>
        <w:rPr>
          <w:color w:val="000000"/>
        </w:rPr>
        <w:t>9.2  - Garantia, manutenção e assistência técnica:</w:t>
      </w:r>
    </w:p>
    <w:p w14:paraId="75B478AF">
      <w:pPr>
        <w:pStyle w:val="24"/>
        <w:ind w:right="143"/>
        <w:rPr>
          <w:color w:val="000000"/>
        </w:rPr>
      </w:pPr>
      <w:r>
        <w:rPr>
          <w:color w:val="000000"/>
        </w:rPr>
        <w:t>9.2.1   - O prazo de garantia é aquele estabelecido na Lei nº 8.078, de 11 de setembro de 1990 (Código de Defesa do Consumidor).</w:t>
      </w:r>
    </w:p>
    <w:p w14:paraId="2786B53B">
      <w:pPr>
        <w:pStyle w:val="24"/>
        <w:rPr>
          <w:b/>
          <w:color w:val="000000"/>
        </w:rPr>
      </w:pPr>
      <w:r>
        <w:rPr>
          <w:b/>
          <w:color w:val="000000"/>
        </w:rPr>
        <w:t>10  </w:t>
      </w:r>
      <w:r>
        <w:rPr>
          <w:b/>
          <w:color w:val="000000"/>
          <w:shd w:val="clear" w:color="auto" w:fill="FFFF00"/>
        </w:rPr>
        <w:t>- MODELO DE GESTÃO DO CONTRATO</w:t>
      </w:r>
      <w:r>
        <w:rPr>
          <w:b/>
          <w:color w:val="000000"/>
        </w:rPr>
        <w:t>:</w:t>
      </w:r>
    </w:p>
    <w:p w14:paraId="75E36263">
      <w:pPr>
        <w:pStyle w:val="24"/>
        <w:ind w:right="125" w:firstLine="72"/>
        <w:rPr>
          <w:color w:val="000000"/>
        </w:rPr>
      </w:pPr>
      <w:r>
        <w:rPr>
          <w:color w:val="000000"/>
        </w:rPr>
        <w:t>10.1   - O contrato deverá ser executado fielmente pelas partes, de acordo com as cláusulas avençadas e as normas da Lei nº 14.133, de 2021, e cada parte responderá pelas consequências de sua inexecução total ou parcial;</w:t>
      </w:r>
    </w:p>
    <w:p w14:paraId="2F425485">
      <w:pPr>
        <w:pStyle w:val="24"/>
        <w:spacing w:before="241" w:beforeAutospacing="0" w:after="0" w:afterAutospacing="0"/>
        <w:ind w:left="124" w:right="121"/>
        <w:rPr>
          <w:color w:val="000000"/>
        </w:rPr>
      </w:pPr>
      <w:r>
        <w:rPr>
          <w:color w:val="000000"/>
        </w:rPr>
        <w:t>10.2   - Em caso de impedimento, ordem de paralisação ou suspensão do contrato, o cronograma de execução será prorrogado automaticamente pelo tempo correspondente, anotadas tais circunstâncias;</w:t>
      </w:r>
    </w:p>
    <w:p w14:paraId="1EB1432B">
      <w:pPr>
        <w:pStyle w:val="24"/>
        <w:ind w:right="144" w:firstLine="72"/>
        <w:rPr>
          <w:color w:val="000000"/>
        </w:rPr>
      </w:pPr>
      <w:r>
        <w:rPr>
          <w:color w:val="000000"/>
        </w:rPr>
        <w:t>10.3   - As comunicações entre o órgão ou entidade e a contratada devem ser realizadas por escrito sempre que o ato exigir tal formalidade, admitindo-se o uso de mensagem eletrônica para esse fim;</w:t>
      </w:r>
    </w:p>
    <w:p w14:paraId="116A7BBA">
      <w:pPr>
        <w:pStyle w:val="24"/>
        <w:ind w:right="178" w:firstLine="108"/>
        <w:rPr>
          <w:color w:val="000000"/>
        </w:rPr>
      </w:pPr>
      <w:r>
        <w:rPr>
          <w:color w:val="000000"/>
        </w:rPr>
        <w:t>10.4    – A Prefeitura de Valença/Secretaria, poderá convocar representante da empresa para adoção de providências que devam ser cumpridas de imediato;</w:t>
      </w:r>
    </w:p>
    <w:p w14:paraId="3D193D67">
      <w:pPr>
        <w:pStyle w:val="24"/>
        <w:spacing w:before="241" w:beforeAutospacing="0" w:after="0" w:afterAutospacing="0"/>
        <w:ind w:left="124" w:right="123" w:firstLine="108"/>
        <w:rPr>
          <w:color w:val="000000"/>
        </w:rPr>
      </w:pPr>
      <w:r>
        <w:rPr>
          <w:color w:val="000000"/>
        </w:rPr>
        <w:t>10.5    - Após a assinatura do contrato ou instrumento equivalente, o Município de Valença/RJ, poderá convocar o representante da empresa contratada para reunião inicial para apresentação do plano de fiscalização, que conterá informações acerca das obrigações contratuais, dos mecanismos de fiscalização, das</w:t>
      </w:r>
    </w:p>
    <w:p w14:paraId="0C55600E">
      <w:pPr>
        <w:pStyle w:val="24"/>
        <w:spacing w:before="62" w:beforeAutospacing="0"/>
        <w:rPr>
          <w:color w:val="000000"/>
        </w:rPr>
      </w:pPr>
      <w:r>
        <w:rPr>
          <w:color w:val="000000"/>
        </w:rPr>
        <w:t>estratégias para execução do objeto, do plano complementar de execução da contratada, quando houver, do método de aferição dos resultados e das sanções aplicáveis, dentre outros;</w:t>
      </w:r>
    </w:p>
    <w:p w14:paraId="42529F13">
      <w:pPr>
        <w:pStyle w:val="24"/>
        <w:ind w:right="129"/>
        <w:rPr>
          <w:color w:val="000000"/>
        </w:rPr>
      </w:pPr>
      <w:r>
        <w:rPr>
          <w:color w:val="000000"/>
        </w:rPr>
        <w:t>10.6   - A responsabilidade pela gestão do contrato caberá ao servidor(a), ou comissão designados, conforme item 10.7 deste termo, o(a) qual será responsável pelas atribuições definidas pelo Secretário de Municipal de Assistência;</w:t>
      </w:r>
    </w:p>
    <w:p w14:paraId="76AD7943">
      <w:pPr>
        <w:pStyle w:val="24"/>
        <w:ind w:right="132"/>
        <w:rPr>
          <w:color w:val="000000"/>
        </w:rPr>
      </w:pPr>
      <w:r>
        <w:rPr>
          <w:color w:val="000000"/>
        </w:rPr>
        <w:t>10.7  - Os responsáveis pela gestão e fiscalização do contrato serão designados por ato administrativo próprio do Contratante, a critério do Secretário Municipal de Assistência;</w:t>
      </w:r>
    </w:p>
    <w:p w14:paraId="7811E59D">
      <w:pPr>
        <w:pStyle w:val="24"/>
        <w:spacing w:before="241" w:beforeAutospacing="0" w:after="0" w:afterAutospacing="0"/>
        <w:ind w:left="124" w:right="132"/>
        <w:rPr>
          <w:color w:val="000000"/>
        </w:rPr>
      </w:pPr>
      <w:r>
        <w:rPr>
          <w:color w:val="000000"/>
        </w:rPr>
        <w:t>10.8   - A gestão e a fiscalização do contrato serão exercidas pelo Contratante, que realizará a fiscalização, o controle e a avaliação dos bens fornecidos, bem como aplicará as penalidades, após o devido processo legal, caso haja descumprimento das obrigações contratadas;</w:t>
      </w:r>
    </w:p>
    <w:p w14:paraId="5AE1B4EB">
      <w:pPr>
        <w:pStyle w:val="24"/>
        <w:ind w:left="184"/>
        <w:jc w:val="both"/>
        <w:rPr>
          <w:color w:val="000000"/>
        </w:rPr>
      </w:pPr>
      <w:r>
        <w:rPr>
          <w:color w:val="000000"/>
        </w:rPr>
        <w:t>10.10 - As regras previstas neste tópico aplicam-se à gestão da ata de registro de preços, naquilo que couber.</w:t>
      </w:r>
    </w:p>
    <w:p w14:paraId="1FE6809A">
      <w:pPr>
        <w:pStyle w:val="24"/>
        <w:rPr>
          <w:b/>
          <w:color w:val="000000"/>
        </w:rPr>
      </w:pPr>
      <w:r>
        <w:rPr>
          <w:b/>
          <w:color w:val="000000"/>
        </w:rPr>
        <w:t>11  </w:t>
      </w:r>
      <w:r>
        <w:rPr>
          <w:b/>
          <w:color w:val="000000"/>
          <w:shd w:val="clear" w:color="auto" w:fill="FFFF00"/>
        </w:rPr>
        <w:t>- CRITÉRIOS DE MEDIÇÃO E PAGAMENTO</w:t>
      </w:r>
      <w:r>
        <w:rPr>
          <w:b/>
          <w:color w:val="000000"/>
        </w:rPr>
        <w:t>:</w:t>
      </w:r>
    </w:p>
    <w:p w14:paraId="68E056A1">
      <w:pPr>
        <w:pStyle w:val="24"/>
        <w:rPr>
          <w:color w:val="000000"/>
        </w:rPr>
      </w:pPr>
      <w:r>
        <w:rPr>
          <w:color w:val="000000"/>
        </w:rPr>
        <w:t>11.1  - DO RECEBIMENTO</w:t>
      </w:r>
    </w:p>
    <w:p w14:paraId="016851A8">
      <w:pPr>
        <w:pStyle w:val="24"/>
        <w:spacing w:before="241" w:beforeAutospacing="0" w:after="0" w:afterAutospacing="0"/>
        <w:ind w:left="124" w:right="121"/>
        <w:rPr>
          <w:color w:val="000000"/>
        </w:rPr>
      </w:pPr>
      <w:r>
        <w:rPr>
          <w:color w:val="000000"/>
        </w:rPr>
        <w:t>11.1.1  - O bem será recebido provisoriamente, de forma sumária, no ato da entrega, juntamente com a nota fiscal ou instrumento de cobrança equivalente, pelo(a) responsável pelo acompanhamento e fiscalização do contrato, para efeito de posterior verificação de sua conformidade com as especificações constantes no Termo de Referência e na proposta;</w:t>
      </w:r>
    </w:p>
    <w:p w14:paraId="1A11547A">
      <w:pPr>
        <w:pStyle w:val="24"/>
        <w:ind w:right="123"/>
        <w:rPr>
          <w:color w:val="000000"/>
        </w:rPr>
      </w:pPr>
      <w:r>
        <w:rPr>
          <w:color w:val="000000"/>
        </w:rPr>
        <w:t>11.1.2  - O bem poderá ser rejeitado, no todo ou em parte, inclusive antes do recebimento provisório, quando em desacordo com as especificações constantes no Termo de Referência e na proposta, devendo ser substituídos no prazo de 48 horas, a contar da notificação da contratada, às suas custas, sem prejuízo da aplicação das penalidades;</w:t>
      </w:r>
    </w:p>
    <w:p w14:paraId="25E299E0">
      <w:pPr>
        <w:pStyle w:val="24"/>
        <w:spacing w:before="241" w:beforeAutospacing="0" w:after="0" w:afterAutospacing="0"/>
        <w:ind w:left="124" w:right="142" w:firstLine="84"/>
        <w:rPr>
          <w:color w:val="000000"/>
        </w:rPr>
      </w:pPr>
      <w:r>
        <w:rPr>
          <w:color w:val="000000"/>
        </w:rPr>
        <w:t>11.1.3   - O recebimento definitivo ocorrerá no prazo de até 7 dias úteis, a contar do recebimento da nota fiscal ou instrumento de cobrança equivalente pela Administração, após a verificação da qualidade e quantidade do material e consequente aceitação mediante termo detalhado;</w:t>
      </w:r>
    </w:p>
    <w:p w14:paraId="0135E548">
      <w:pPr>
        <w:pStyle w:val="24"/>
        <w:ind w:right="132"/>
        <w:rPr>
          <w:color w:val="000000"/>
        </w:rPr>
      </w:pPr>
      <w:r>
        <w:rPr>
          <w:color w:val="000000"/>
        </w:rPr>
        <w:t>11.1.4  - O prazo para recebimento definitivo poderá ser excepcionalmente prorrogado, de forma justificada, por igual período, quando houver necessidade de diligências para a aferição do atendimento das exigências contratuais;</w:t>
      </w:r>
    </w:p>
    <w:p w14:paraId="0BA9AE26">
      <w:pPr>
        <w:pStyle w:val="24"/>
        <w:ind w:right="129" w:firstLine="72"/>
        <w:rPr>
          <w:color w:val="000000"/>
        </w:rPr>
      </w:pPr>
      <w:r>
        <w:rPr>
          <w:color w:val="000000"/>
        </w:rPr>
        <w:t>11.1.5   - No caso de controvérsia sobre a execução do objeto, quanto à dimensão, qualidade e quantidade, deverá ser observado o teor do art. 143 da Lei nº 14.133, de 2021, comunicando-se à empresa para emissão de Nota Fiscal no que é pertinente à parcela incontroversa da execução do objeto, para efeito de liquidação e pagamento;</w:t>
      </w:r>
    </w:p>
    <w:p w14:paraId="078A9F5E">
      <w:pPr>
        <w:pStyle w:val="24"/>
        <w:spacing w:before="241" w:beforeAutospacing="0" w:after="0" w:afterAutospacing="0"/>
        <w:ind w:left="124" w:right="137"/>
        <w:rPr>
          <w:color w:val="000000"/>
        </w:rPr>
      </w:pPr>
      <w:r>
        <w:rPr>
          <w:color w:val="000000"/>
        </w:rPr>
        <w:t>11.1.6  - 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3482155A">
      <w:pPr>
        <w:pStyle w:val="24"/>
        <w:ind w:right="140" w:firstLine="84"/>
        <w:rPr>
          <w:color w:val="000000"/>
        </w:rPr>
      </w:pPr>
      <w:r>
        <w:rPr>
          <w:color w:val="000000"/>
        </w:rPr>
        <w:t>11.1.7   - O recebimento provisório ou definitivo não excluirá a responsabilidade civil pela solidez e pela segurança do fornecimento nem a responsabilidade ético-profissional pela perfeita execução do contrato.</w:t>
      </w:r>
    </w:p>
    <w:p w14:paraId="7D79DD15">
      <w:pPr>
        <w:pStyle w:val="24"/>
        <w:rPr>
          <w:b/>
          <w:color w:val="000000"/>
        </w:rPr>
      </w:pPr>
      <w:r>
        <w:rPr>
          <w:b/>
          <w:color w:val="000000"/>
        </w:rPr>
        <w:t>12  </w:t>
      </w:r>
      <w:r>
        <w:rPr>
          <w:b/>
          <w:color w:val="000000"/>
          <w:shd w:val="clear" w:color="auto" w:fill="FFFF00"/>
        </w:rPr>
        <w:t>– LIQUIDAÇÃO</w:t>
      </w:r>
    </w:p>
    <w:p w14:paraId="47236218">
      <w:pPr>
        <w:pStyle w:val="24"/>
        <w:ind w:right="122"/>
        <w:rPr>
          <w:color w:val="000000"/>
        </w:rPr>
      </w:pPr>
      <w:r>
        <w:rPr>
          <w:color w:val="000000"/>
        </w:rPr>
        <w:t>12.1   - Recebida a Nota Fiscal ou documento de cobrança equivalente, correrá o prazo de 10 (dez) dias úteis para fins de liquidação, na forma desta seção, prorrogáveis por igual período;</w:t>
      </w:r>
    </w:p>
    <w:p w14:paraId="3377091D">
      <w:pPr>
        <w:pStyle w:val="24"/>
        <w:spacing w:before="78" w:beforeAutospacing="0" w:after="0" w:afterAutospacing="0"/>
        <w:ind w:left="124" w:right="141"/>
        <w:rPr>
          <w:color w:val="000000"/>
        </w:rPr>
      </w:pPr>
      <w:r>
        <w:rPr>
          <w:color w:val="000000"/>
        </w:rPr>
        <w:t>12.2  - Os documentos fiscais de cobrança deverão ser emitidos contra a(o) Prefeitura Municipal de Valença, CNPJ nº: 29.076.130/0001-90, ou para Secretaria Municipal de Assistência, Esporte, e Envelhecimento Saudável, CNPJ nº: 13.653.105/0001-91;</w:t>
      </w:r>
    </w:p>
    <w:p w14:paraId="78A56191">
      <w:pPr>
        <w:pStyle w:val="24"/>
        <w:ind w:right="123" w:firstLine="72"/>
        <w:rPr>
          <w:color w:val="000000"/>
        </w:rPr>
      </w:pPr>
      <w:r>
        <w:rPr>
          <w:color w:val="000000"/>
        </w:rPr>
        <w:t>12.2.1   - Para fins de liquidação, o setor competente deve verificar se a Nota Fiscal ou Fatura apresentada expressa os elementos necessários e essenciais do documento, tais como:</w:t>
      </w:r>
    </w:p>
    <w:p w14:paraId="7B9CF52D">
      <w:pPr>
        <w:pStyle w:val="24"/>
        <w:ind w:left="368"/>
        <w:rPr>
          <w:color w:val="000000"/>
        </w:rPr>
      </w:pPr>
      <w:r>
        <w:rPr>
          <w:color w:val="000000"/>
        </w:rPr>
        <w:t>a)   o prazo de validade;</w:t>
      </w:r>
    </w:p>
    <w:p w14:paraId="4F76C924">
      <w:pPr>
        <w:pStyle w:val="24"/>
        <w:spacing w:before="241" w:beforeAutospacing="0" w:after="0" w:afterAutospacing="0"/>
        <w:ind w:left="442"/>
        <w:rPr>
          <w:color w:val="000000"/>
        </w:rPr>
      </w:pPr>
      <w:r>
        <w:rPr>
          <w:color w:val="000000"/>
        </w:rPr>
        <w:t>b)  a data da emissão;</w:t>
      </w:r>
    </w:p>
    <w:p w14:paraId="1B0F456B">
      <w:pPr>
        <w:pStyle w:val="24"/>
        <w:ind w:left="428"/>
        <w:rPr>
          <w:color w:val="000000"/>
        </w:rPr>
      </w:pPr>
      <w:r>
        <w:rPr>
          <w:color w:val="000000"/>
        </w:rPr>
        <w:t>c)   os dados do contrato e do órgão contratante;</w:t>
      </w:r>
    </w:p>
    <w:p w14:paraId="33E6DD75">
      <w:pPr>
        <w:pStyle w:val="24"/>
        <w:ind w:left="442"/>
        <w:rPr>
          <w:color w:val="000000"/>
        </w:rPr>
      </w:pPr>
      <w:r>
        <w:rPr>
          <w:color w:val="000000"/>
        </w:rPr>
        <w:t>d)  o período respectivo de execução do contrato;</w:t>
      </w:r>
    </w:p>
    <w:p w14:paraId="3ACAA533">
      <w:pPr>
        <w:pStyle w:val="24"/>
        <w:ind w:left="428"/>
        <w:rPr>
          <w:color w:val="000000"/>
        </w:rPr>
      </w:pPr>
      <w:r>
        <w:rPr>
          <w:color w:val="000000"/>
        </w:rPr>
        <w:t>e)   o valor a pagar; e</w:t>
      </w:r>
    </w:p>
    <w:p w14:paraId="0B306B40">
      <w:pPr>
        <w:pStyle w:val="24"/>
        <w:ind w:left="401"/>
        <w:rPr>
          <w:color w:val="000000"/>
        </w:rPr>
      </w:pPr>
      <w:r>
        <w:rPr>
          <w:color w:val="000000"/>
        </w:rPr>
        <w:t>f)  eventual destaque do valor de retenções tributárias cabíveis.</w:t>
      </w:r>
    </w:p>
    <w:p w14:paraId="5B8F21EF">
      <w:pPr>
        <w:pStyle w:val="24"/>
        <w:ind w:right="123" w:firstLine="84"/>
        <w:rPr>
          <w:color w:val="000000"/>
        </w:rPr>
      </w:pPr>
      <w:r>
        <w:rPr>
          <w:color w:val="000000"/>
        </w:rPr>
        <w:t>12.3   - Havendo erro na apresentação da Nota Fiscal/Fatura, ou circunstância que impeça a liquidação da despesa, esta ficará sobrestada até que o contratado providencie as medidas saneadoras, reiniciando-se o prazo após a comprovação da regularização da situação, sem ônus à contratante;</w:t>
      </w:r>
    </w:p>
    <w:p w14:paraId="1D15A3B2">
      <w:pPr>
        <w:pStyle w:val="24"/>
        <w:spacing w:before="241" w:beforeAutospacing="0" w:after="0" w:afterAutospacing="0"/>
        <w:ind w:left="124" w:right="124"/>
        <w:rPr>
          <w:color w:val="000000"/>
        </w:rPr>
      </w:pPr>
      <w:r>
        <w:rPr>
          <w:color w:val="000000"/>
        </w:rPr>
        <w:t>12.4   - A Nota Fiscal ou Fatura deverá ser obrigatoriamente acompanhada da comprovação da regularidade fiscal, constatada por meio de consulta aos sítios eletrônicos oficiais ou à documentação mencionada no art. 68 da Lei nº 14.133/2021;</w:t>
      </w:r>
    </w:p>
    <w:p w14:paraId="62359D48">
      <w:pPr>
        <w:pStyle w:val="24"/>
        <w:rPr>
          <w:color w:val="000000"/>
        </w:rPr>
      </w:pPr>
      <w:r>
        <w:rPr>
          <w:color w:val="000000"/>
        </w:rPr>
        <w:t>12.5  - A Administração deverá realizar consulta para:</w:t>
      </w:r>
    </w:p>
    <w:p w14:paraId="3DDFC725">
      <w:pPr>
        <w:pStyle w:val="24"/>
        <w:ind w:left="368"/>
        <w:rPr>
          <w:color w:val="000000"/>
        </w:rPr>
      </w:pPr>
      <w:r>
        <w:rPr>
          <w:color w:val="000000"/>
        </w:rPr>
        <w:t>a)   verificar a manutenção das condições de habilitação exigidas no edital;</w:t>
      </w:r>
    </w:p>
    <w:p w14:paraId="4CE7B72C">
      <w:pPr>
        <w:pStyle w:val="24"/>
        <w:spacing w:before="241" w:beforeAutospacing="0" w:after="0" w:afterAutospacing="0"/>
        <w:ind w:left="124" w:right="129" w:firstLine="108"/>
        <w:rPr>
          <w:color w:val="000000"/>
        </w:rPr>
      </w:pPr>
      <w:r>
        <w:rPr>
          <w:color w:val="000000"/>
        </w:rPr>
        <w:t>b)    identificar possível razão que impeça a participação em licitação, no âmbito do órgão ou entidade, proibição de contratar com o Poder Público, bem como ocorrências impeditivas indiretas; 12.6 - Constatando-se,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706AFFED">
      <w:pPr>
        <w:pStyle w:val="24"/>
        <w:ind w:right="121" w:firstLine="108"/>
        <w:rPr>
          <w:color w:val="000000"/>
        </w:rPr>
      </w:pPr>
      <w:r>
        <w:rPr>
          <w:color w:val="000000"/>
        </w:rPr>
        <w:t>12.7    - 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w:t>
      </w:r>
    </w:p>
    <w:p w14:paraId="53E92B58">
      <w:pPr>
        <w:pStyle w:val="24"/>
        <w:spacing w:before="241" w:beforeAutospacing="0" w:after="0" w:afterAutospacing="0"/>
        <w:ind w:left="124" w:right="128" w:firstLine="72"/>
        <w:rPr>
          <w:color w:val="000000"/>
        </w:rPr>
      </w:pPr>
      <w:r>
        <w:rPr>
          <w:color w:val="000000"/>
        </w:rPr>
        <w:t>12.8   - Persistindo a irregularidade, o contratante deverá adotar as medidas necessárias à rescisão contratual nos autos do processo administrativo correspondente, assegurada ao contratado a ampla defesa;</w:t>
      </w:r>
    </w:p>
    <w:p w14:paraId="41457CF2">
      <w:pPr>
        <w:pStyle w:val="24"/>
        <w:ind w:right="124" w:firstLine="96"/>
        <w:rPr>
          <w:color w:val="000000"/>
        </w:rPr>
      </w:pPr>
      <w:r>
        <w:rPr>
          <w:color w:val="000000"/>
        </w:rPr>
        <w:t>12.9   - Havendo a efetiva execução do objeto, os pagamentos serão realizados normalmente, até que se decida pela rescisão do contrato, caso o contratado não regularize sua situação.</w:t>
      </w:r>
    </w:p>
    <w:p w14:paraId="21D71DC4">
      <w:pPr>
        <w:pStyle w:val="24"/>
        <w:rPr>
          <w:b/>
          <w:color w:val="000000"/>
        </w:rPr>
      </w:pPr>
      <w:r>
        <w:rPr>
          <w:b/>
          <w:color w:val="000000"/>
        </w:rPr>
        <w:t>13  </w:t>
      </w:r>
      <w:r>
        <w:rPr>
          <w:b/>
          <w:color w:val="000000"/>
          <w:shd w:val="clear" w:color="auto" w:fill="FFFF00"/>
        </w:rPr>
        <w:t>- PRAZO DE PAGAMENTO</w:t>
      </w:r>
      <w:r>
        <w:rPr>
          <w:b/>
          <w:color w:val="000000"/>
        </w:rPr>
        <w:t>:</w:t>
      </w:r>
    </w:p>
    <w:p w14:paraId="549DB77A">
      <w:pPr>
        <w:pStyle w:val="24"/>
        <w:ind w:right="121" w:firstLine="72"/>
        <w:rPr>
          <w:color w:val="000000"/>
        </w:rPr>
      </w:pPr>
      <w:r>
        <w:rPr>
          <w:color w:val="000000"/>
        </w:rPr>
        <w:t>13.1   - O pagamento será efetuado no prazo máximo de até 10 (dez) dias úteis, contados da finalização da liquidação da despesa, conforme seção anterior;</w:t>
      </w:r>
    </w:p>
    <w:p w14:paraId="4194A3E7">
      <w:pPr>
        <w:pStyle w:val="24"/>
        <w:spacing w:before="241" w:beforeAutospacing="0"/>
        <w:ind w:firstLine="156"/>
        <w:rPr>
          <w:color w:val="000000"/>
        </w:rPr>
      </w:pPr>
      <w:r>
        <w:rPr>
          <w:color w:val="000000"/>
        </w:rPr>
        <w:t>13.2 - No caso de atraso pelo Contratante, os valores devidos ao contratado serão atualizados monetariamente entre o termo final do prazo de pagamento até a data de sua efetiva realização, mediante</w:t>
      </w:r>
    </w:p>
    <w:p w14:paraId="7E60B3EC">
      <w:pPr>
        <w:pStyle w:val="24"/>
        <w:spacing w:before="62" w:beforeAutospacing="0"/>
        <w:rPr>
          <w:color w:val="000000"/>
        </w:rPr>
      </w:pPr>
      <w:r>
        <w:rPr>
          <w:color w:val="000000"/>
        </w:rPr>
        <w:t>aplicação do índice IPCA de correção monetária.</w:t>
      </w:r>
    </w:p>
    <w:p w14:paraId="5EE37139">
      <w:pPr>
        <w:pStyle w:val="24"/>
        <w:spacing w:before="0" w:beforeAutospacing="0" w:after="0" w:afterAutospacing="0"/>
        <w:rPr>
          <w:color w:val="000000"/>
        </w:rPr>
      </w:pPr>
      <w:r>
        <w:rPr>
          <w:color w:val="000000"/>
        </w:rPr>
        <w:t> </w:t>
      </w:r>
    </w:p>
    <w:p w14:paraId="567B87B9">
      <w:pPr>
        <w:pStyle w:val="24"/>
        <w:spacing w:before="204" w:beforeAutospacing="0" w:after="0" w:afterAutospacing="0"/>
        <w:rPr>
          <w:color w:val="000000"/>
        </w:rPr>
      </w:pPr>
      <w:r>
        <w:rPr>
          <w:color w:val="000000"/>
        </w:rPr>
        <w:t> </w:t>
      </w:r>
    </w:p>
    <w:p w14:paraId="5C12B340">
      <w:pPr>
        <w:pStyle w:val="24"/>
        <w:rPr>
          <w:b/>
          <w:color w:val="000000"/>
        </w:rPr>
      </w:pPr>
      <w:r>
        <w:rPr>
          <w:b/>
          <w:color w:val="000000"/>
        </w:rPr>
        <w:t>14  </w:t>
      </w:r>
      <w:r>
        <w:rPr>
          <w:b/>
          <w:color w:val="000000"/>
          <w:shd w:val="clear" w:color="auto" w:fill="FFFF00"/>
        </w:rPr>
        <w:t>- FORMA DE PAGAMENTO</w:t>
      </w:r>
      <w:r>
        <w:rPr>
          <w:b/>
          <w:color w:val="000000"/>
        </w:rPr>
        <w:t>:</w:t>
      </w:r>
    </w:p>
    <w:p w14:paraId="54737F6E">
      <w:pPr>
        <w:pStyle w:val="24"/>
        <w:ind w:right="129" w:firstLine="96"/>
        <w:rPr>
          <w:color w:val="000000"/>
        </w:rPr>
      </w:pPr>
      <w:r>
        <w:rPr>
          <w:color w:val="000000"/>
        </w:rPr>
        <w:t>14.1    - O pagamento será realizado através de ordem bancária, para crédito em banco, agência e conta corrente indicados pelo contratado;</w:t>
      </w:r>
    </w:p>
    <w:p w14:paraId="6DEC8F5A">
      <w:pPr>
        <w:pStyle w:val="24"/>
        <w:ind w:right="132" w:firstLine="96"/>
        <w:rPr>
          <w:color w:val="000000"/>
        </w:rPr>
      </w:pPr>
      <w:r>
        <w:rPr>
          <w:color w:val="000000"/>
        </w:rPr>
        <w:t>14.2   - Será considerada data do pagamento o dia em que constar como emitida a ordem bancária para pagamento;</w:t>
      </w:r>
    </w:p>
    <w:p w14:paraId="27445B38">
      <w:pPr>
        <w:pStyle w:val="24"/>
        <w:spacing w:before="241" w:beforeAutospacing="0" w:after="0" w:afterAutospacing="0"/>
        <w:ind w:left="124" w:right="129" w:firstLine="84"/>
        <w:rPr>
          <w:color w:val="000000"/>
        </w:rPr>
      </w:pPr>
      <w:r>
        <w:rPr>
          <w:color w:val="000000"/>
        </w:rPr>
        <w:t>14.3   - Quando do pagamento, será efetuada a retenção tributária prevista na legislação aplicável; 14.3.1 - Independentemente do percentual de tributo inserido na planilha, quando houver, serão retidos na fonte, quando da realização do pagamento, os percentuais estabelecidos na legislação vigente;</w:t>
      </w:r>
    </w:p>
    <w:p w14:paraId="74810D04">
      <w:pPr>
        <w:pStyle w:val="24"/>
        <w:ind w:right="121" w:firstLine="60"/>
        <w:jc w:val="both"/>
        <w:rPr>
          <w:color w:val="000000"/>
        </w:rPr>
      </w:pPr>
      <w:r>
        <w:rPr>
          <w:color w:val="000000"/>
        </w:rPr>
        <w:t>14.3.2 - O contratado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15DD51D6">
      <w:pPr>
        <w:pStyle w:val="24"/>
        <w:rPr>
          <w:b/>
          <w:color w:val="000000"/>
        </w:rPr>
      </w:pPr>
      <w:r>
        <w:rPr>
          <w:b/>
          <w:color w:val="000000"/>
        </w:rPr>
        <w:t>15  </w:t>
      </w:r>
      <w:r>
        <w:rPr>
          <w:b/>
          <w:color w:val="000000"/>
          <w:shd w:val="clear" w:color="auto" w:fill="FFFF00"/>
        </w:rPr>
        <w:t>– REAJUSTE:</w:t>
      </w:r>
    </w:p>
    <w:p w14:paraId="66992A20">
      <w:pPr>
        <w:pStyle w:val="24"/>
        <w:ind w:right="124" w:firstLine="72"/>
        <w:rPr>
          <w:color w:val="000000"/>
        </w:rPr>
      </w:pPr>
      <w:r>
        <w:rPr>
          <w:color w:val="000000"/>
        </w:rPr>
        <w:t>15.1   - Os preços inicialmente contratados são fixos e irreajustáveis no prazo de um ano contado da data do orçamento estimado;</w:t>
      </w:r>
    </w:p>
    <w:p w14:paraId="1CF1EDFC">
      <w:pPr>
        <w:pStyle w:val="24"/>
        <w:ind w:right="134"/>
        <w:rPr>
          <w:color w:val="000000"/>
        </w:rPr>
      </w:pPr>
      <w:r>
        <w:rPr>
          <w:color w:val="000000"/>
        </w:rPr>
        <w:t>15.2   - Após o interregno de um ano, e independentemente de pedido do contratado, os preços iniciais serão reajustados, mediante a aplicação, pelo contratante, do IPCA acumulado dos últimos doze meses, exclusivamente para as obrigações iniciadas e concluídas após a ocorrência da anualidade;</w:t>
      </w:r>
    </w:p>
    <w:p w14:paraId="0843A6A8">
      <w:pPr>
        <w:pStyle w:val="24"/>
        <w:spacing w:before="241" w:beforeAutospacing="0" w:after="0" w:afterAutospacing="0"/>
        <w:ind w:left="124" w:right="125" w:firstLine="84"/>
        <w:rPr>
          <w:color w:val="000000"/>
        </w:rPr>
      </w:pPr>
      <w:r>
        <w:rPr>
          <w:color w:val="000000"/>
        </w:rPr>
        <w:t>15.3   - Nos reajustes subsequentes ao primeiro, o interregno mínimo de um ano será contado a partir dos efeitos financeiros do último reajuste;</w:t>
      </w:r>
    </w:p>
    <w:p w14:paraId="265D20CC">
      <w:pPr>
        <w:pStyle w:val="24"/>
        <w:ind w:right="107" w:firstLine="96"/>
        <w:rPr>
          <w:color w:val="000000"/>
        </w:rPr>
      </w:pPr>
      <w:r>
        <w:rPr>
          <w:color w:val="000000"/>
        </w:rPr>
        <w:t>15.4   - No caso de atraso ou não divulgação do(s) índice (s) de reajustamento, o contratante pagará ao contratado a importância calculada pela última variação conhecida, liquidando a diferença correspondente tão logo seja(m) divulgado(s) o(s) índice(s) definitivo(s);</w:t>
      </w:r>
    </w:p>
    <w:p w14:paraId="5DBFFA90">
      <w:pPr>
        <w:pStyle w:val="24"/>
        <w:ind w:right="127" w:firstLine="132"/>
        <w:rPr>
          <w:color w:val="000000"/>
        </w:rPr>
      </w:pPr>
      <w:r>
        <w:rPr>
          <w:color w:val="000000"/>
        </w:rPr>
        <w:t>15.5     - Nas aferições finais, o(s) índice(s) utilizado(s) para reajuste será(ão), obrigatoriamente, o(s) definitivo(s);</w:t>
      </w:r>
    </w:p>
    <w:p w14:paraId="28FC58F4">
      <w:pPr>
        <w:pStyle w:val="24"/>
        <w:ind w:right="126"/>
        <w:rPr>
          <w:color w:val="000000"/>
        </w:rPr>
      </w:pPr>
      <w:r>
        <w:rPr>
          <w:color w:val="000000"/>
        </w:rPr>
        <w:t>15.6  - Caso o(s) índice(s) estabelecido(s) para reajustamento venha(m) a ser extinto(s) ou de qualquer forma não possa(m) mais ser utilizado(s), será(ão) adotado(s), em substituição, o(s) que vier(em) a ser determinado(s) pela legislação então em vigor;</w:t>
      </w:r>
    </w:p>
    <w:p w14:paraId="73ED5F08">
      <w:pPr>
        <w:pStyle w:val="24"/>
        <w:spacing w:before="241" w:beforeAutospacing="0" w:after="0" w:afterAutospacing="0"/>
        <w:ind w:left="124" w:right="132"/>
        <w:rPr>
          <w:color w:val="000000"/>
        </w:rPr>
      </w:pPr>
      <w:r>
        <w:rPr>
          <w:color w:val="000000"/>
        </w:rPr>
        <w:t>15.7   - Na ausência de previsão legal quanto ao índice substituto, as partes elegerão novo índice oficial, para reajustamento do preço do valor remanescente, por meio de termo aditivo;</w:t>
      </w:r>
    </w:p>
    <w:p w14:paraId="666AD6C0">
      <w:pPr>
        <w:pStyle w:val="24"/>
        <w:rPr>
          <w:color w:val="000000"/>
        </w:rPr>
      </w:pPr>
      <w:r>
        <w:rPr>
          <w:color w:val="000000"/>
        </w:rPr>
        <w:t>15.8  - O reajuste será realizado por apostilamento.</w:t>
      </w:r>
    </w:p>
    <w:p w14:paraId="2BBD5F04">
      <w:pPr>
        <w:pStyle w:val="24"/>
        <w:rPr>
          <w:b/>
          <w:color w:val="000000"/>
        </w:rPr>
      </w:pPr>
      <w:r>
        <w:rPr>
          <w:b/>
          <w:color w:val="000000"/>
        </w:rPr>
        <w:t>16  </w:t>
      </w:r>
      <w:r>
        <w:rPr>
          <w:b/>
          <w:color w:val="000000"/>
          <w:shd w:val="clear" w:color="auto" w:fill="FFFF00"/>
        </w:rPr>
        <w:t>- FORMA E CRITÉRIOS DE SELEÇÃO DO FORNECEDOR</w:t>
      </w:r>
      <w:r>
        <w:rPr>
          <w:b/>
          <w:color w:val="000000"/>
        </w:rPr>
        <w:t>:</w:t>
      </w:r>
    </w:p>
    <w:p w14:paraId="1AF2D913">
      <w:pPr>
        <w:pStyle w:val="24"/>
        <w:spacing w:before="241" w:beforeAutospacing="0" w:after="0" w:afterAutospacing="0"/>
        <w:rPr>
          <w:color w:val="000000"/>
        </w:rPr>
      </w:pPr>
      <w:r>
        <w:rPr>
          <w:color w:val="000000"/>
        </w:rPr>
        <w:t>16.1  - Forma de seleção e critério de julgamento da proposta:</w:t>
      </w:r>
    </w:p>
    <w:p w14:paraId="717E5F5A">
      <w:pPr>
        <w:pStyle w:val="24"/>
        <w:ind w:right="124" w:firstLine="108"/>
        <w:rPr>
          <w:color w:val="000000"/>
        </w:rPr>
      </w:pPr>
      <w:r>
        <w:rPr>
          <w:color w:val="000000"/>
        </w:rPr>
        <w:t>16.1.1    - O fornecedor será selecionado por meio da realização de procedimento de LICITAÇÃO, na modalidade PREGÃO, sob a forma ELETRÔNICA, com adoção do critério de julgamento pelo MENOR</w:t>
      </w:r>
    </w:p>
    <w:p w14:paraId="181CFB68">
      <w:pPr>
        <w:pStyle w:val="24"/>
        <w:spacing w:before="62" w:beforeAutospacing="0"/>
        <w:rPr>
          <w:color w:val="000000"/>
        </w:rPr>
      </w:pPr>
      <w:r>
        <w:rPr>
          <w:color w:val="000000"/>
        </w:rPr>
        <w:t>VALOR POR ITEM facultando-se ao licitante a participação em quantos itens forem de seu interesse.</w:t>
      </w:r>
    </w:p>
    <w:p w14:paraId="2AE57410">
      <w:pPr>
        <w:pStyle w:val="24"/>
        <w:rPr>
          <w:color w:val="000000"/>
        </w:rPr>
      </w:pPr>
      <w:r>
        <w:rPr>
          <w:b/>
          <w:color w:val="000000"/>
        </w:rPr>
        <w:t>16.2  </w:t>
      </w:r>
      <w:r>
        <w:rPr>
          <w:b/>
          <w:color w:val="000000"/>
          <w:shd w:val="clear" w:color="auto" w:fill="FFFF00"/>
        </w:rPr>
        <w:t>- MODO DE DISPUTA</w:t>
      </w:r>
      <w:r>
        <w:rPr>
          <w:color w:val="000000"/>
          <w:shd w:val="clear" w:color="auto" w:fill="FFFF00"/>
        </w:rPr>
        <w:t>:</w:t>
      </w:r>
    </w:p>
    <w:p w14:paraId="3FA254E4">
      <w:pPr>
        <w:pStyle w:val="24"/>
        <w:rPr>
          <w:color w:val="000000"/>
        </w:rPr>
      </w:pPr>
      <w:r>
        <w:rPr>
          <w:color w:val="000000"/>
        </w:rPr>
        <w:t>16.2.1  - Modo de Disputa – Aberto</w:t>
      </w:r>
    </w:p>
    <w:p w14:paraId="519F88D1">
      <w:pPr>
        <w:pStyle w:val="24"/>
        <w:rPr>
          <w:color w:val="000000"/>
        </w:rPr>
      </w:pPr>
      <w:r>
        <w:rPr>
          <w:color w:val="000000"/>
        </w:rPr>
        <w:t>16.3  - Exigências de habilitação:</w:t>
      </w:r>
    </w:p>
    <w:p w14:paraId="70509988">
      <w:pPr>
        <w:pStyle w:val="24"/>
        <w:rPr>
          <w:color w:val="000000"/>
        </w:rPr>
      </w:pPr>
      <w:r>
        <w:rPr>
          <w:color w:val="000000"/>
        </w:rPr>
        <w:t>16.3.1  - Para fins de habilitação, deverá o licitante comprovar os seguintes requisitos:</w:t>
      </w:r>
    </w:p>
    <w:p w14:paraId="5F1EEDEA">
      <w:pPr>
        <w:pStyle w:val="24"/>
        <w:spacing w:before="241" w:beforeAutospacing="0" w:after="0" w:afterAutospacing="0"/>
        <w:ind w:left="124" w:right="126"/>
        <w:rPr>
          <w:color w:val="000000"/>
        </w:rPr>
      </w:pPr>
      <w:r>
        <w:rPr>
          <w:color w:val="000000"/>
        </w:rPr>
        <w:t>16.4   - Habilitação jurídica (Os documentos apresentados deverão estar acompanhados de todas as alterações ou da consolidação respectiva);</w:t>
      </w:r>
    </w:p>
    <w:p w14:paraId="409A1F6C">
      <w:pPr>
        <w:pStyle w:val="24"/>
        <w:ind w:right="123" w:firstLine="96"/>
        <w:rPr>
          <w:color w:val="000000"/>
        </w:rPr>
      </w:pPr>
      <w:r>
        <w:rPr>
          <w:color w:val="000000"/>
        </w:rPr>
        <w:t>16.4.1   - Empresário individual: inscrição no Registro Público de Empresas Mercantis, a cargo da Junta Comercial da respectiva sede;</w:t>
      </w:r>
    </w:p>
    <w:p w14:paraId="73B43DE9">
      <w:pPr>
        <w:pStyle w:val="24"/>
        <w:ind w:right="124"/>
        <w:rPr>
          <w:color w:val="000000"/>
        </w:rPr>
      </w:pPr>
      <w:r>
        <w:rPr>
          <w:color w:val="000000"/>
        </w:rPr>
        <w:t>16.4.2  - Microempreendedor Individual - MEI: Certificado da Condição de Microempreendedor Individual - CCMEI, cuja aceitação ficará condicionada à verificação da autenticidade no sítio </w:t>
      </w:r>
      <w:r>
        <w:fldChar w:fldCharType="begin"/>
      </w:r>
      <w:r>
        <w:instrText xml:space="preserve"> HYPERLINK "https://www.gov.br/empresas-e-negocios/pt-br/empreendedor" \t "_blank" </w:instrText>
      </w:r>
      <w:r>
        <w:fldChar w:fldCharType="separate"/>
      </w:r>
      <w:r>
        <w:rPr>
          <w:rStyle w:val="16"/>
        </w:rPr>
        <w:t>https://www.gov.br/empresas-e-negocios/pt-br/empreendedor</w:t>
      </w:r>
      <w:r>
        <w:rPr>
          <w:rStyle w:val="16"/>
        </w:rPr>
        <w:fldChar w:fldCharType="end"/>
      </w:r>
      <w:r>
        <w:rPr>
          <w:color w:val="000000"/>
        </w:rPr>
        <w:t>;</w:t>
      </w:r>
    </w:p>
    <w:p w14:paraId="64B7FF04">
      <w:pPr>
        <w:pStyle w:val="24"/>
        <w:ind w:right="121" w:firstLine="120"/>
        <w:rPr>
          <w:color w:val="000000"/>
        </w:rPr>
      </w:pPr>
      <w:r>
        <w:rPr>
          <w:color w:val="000000"/>
        </w:rPr>
        <w:t>16.4.3    - 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14:paraId="01BF2189">
      <w:pPr>
        <w:pStyle w:val="24"/>
        <w:spacing w:before="241" w:beforeAutospacing="0" w:after="0" w:afterAutospacing="0"/>
        <w:ind w:left="124" w:right="122"/>
        <w:rPr>
          <w:color w:val="000000"/>
        </w:rPr>
      </w:pPr>
      <w:r>
        <w:rPr>
          <w:color w:val="000000"/>
        </w:rPr>
        <w:t>16.4.4  - Sociedade empresária estrangeira: portaria de autorização de funcionamento no Brasil, publicada no Diário Oficial da União e arquivada na Junta Comercial da unidade federativa onde se localizar a filial, agência, sucursal ou estabelecimento, a qual será considerada como sua sede, conforme Instrução Normativa DREI/ME n.º 77, de 18 de março de 2020;</w:t>
      </w:r>
    </w:p>
    <w:p w14:paraId="1C763986">
      <w:pPr>
        <w:pStyle w:val="24"/>
        <w:ind w:right="127" w:firstLine="72"/>
        <w:rPr>
          <w:color w:val="000000"/>
        </w:rPr>
      </w:pPr>
      <w:r>
        <w:rPr>
          <w:color w:val="000000"/>
        </w:rPr>
        <w:t>16.4.5   - Sociedade simples: inscrição do ato constitutivo no Registro Civil de Pessoas Jurídicas do local de sua sede, acompanhada de documento comprobatório de seus administradores;</w:t>
      </w:r>
    </w:p>
    <w:p w14:paraId="7E89785C">
      <w:pPr>
        <w:pStyle w:val="24"/>
        <w:spacing w:before="241" w:beforeAutospacing="0" w:after="0" w:afterAutospacing="0"/>
        <w:ind w:left="124" w:right="124" w:firstLine="84"/>
        <w:rPr>
          <w:color w:val="000000"/>
        </w:rPr>
      </w:pPr>
      <w:r>
        <w:rPr>
          <w:color w:val="000000"/>
        </w:rPr>
        <w:t>16.4.6   - Filial, sucursal ou agência de sociedade simples ou empresária: inscrição do ato constitutivo da filial, sucursal ou agência da sociedade simples ou empresária, respectivamente, no Registro Civil das Pessoas Jurídicas ou no Registro Público de Empresas Mercantis onde opera, com averbação no Registro onde tem sede a matriz;</w:t>
      </w:r>
    </w:p>
    <w:p w14:paraId="7ADB587B">
      <w:pPr>
        <w:pStyle w:val="24"/>
        <w:ind w:right="123" w:firstLine="72"/>
        <w:rPr>
          <w:color w:val="000000"/>
        </w:rPr>
      </w:pPr>
      <w:r>
        <w:rPr>
          <w:color w:val="000000"/>
        </w:rPr>
        <w:t>16.4.7   - Sociedade cooperativa: ata de fundação e estatuto social, com a ata da assembleia que o aprovou, devidamente arquivado na Junta Comercial ou inscrito no Registro Civil das Pessoas Jurídicas da respectiva sede, além do registro de que trata o art. 107 da Lei nº 5.764, de 16 de dezembro 1971;</w:t>
      </w:r>
    </w:p>
    <w:p w14:paraId="4BDE58A6">
      <w:pPr>
        <w:pStyle w:val="24"/>
        <w:ind w:right="157"/>
        <w:rPr>
          <w:color w:val="000000"/>
        </w:rPr>
      </w:pPr>
      <w:r>
        <w:rPr>
          <w:color w:val="000000"/>
        </w:rPr>
        <w:t>16.4.8   - Agricultor familiar: Declaração de Aptidão ao Pronaf – DAP ou DAP-P válida, ou, ainda, outros documentos definidos pela Secretaria Especial de Agricultura Familiar e do Desenvolvimento Agrário, nos termos do art. 4º, §2º do Decreto nº 10.880, de 2 de dezembro de 2021;</w:t>
      </w:r>
    </w:p>
    <w:p w14:paraId="2BFBBCC9">
      <w:pPr>
        <w:pStyle w:val="24"/>
        <w:spacing w:before="241" w:beforeAutospacing="0" w:after="0" w:afterAutospacing="0"/>
        <w:ind w:left="124" w:right="122"/>
        <w:rPr>
          <w:color w:val="000000"/>
        </w:rPr>
      </w:pPr>
      <w:r>
        <w:rPr>
          <w:color w:val="000000"/>
        </w:rPr>
        <w:t>16.4.9    - Produtor Rural: matrícula no Cadastro Específico do INSS – CEI, que comprove a qualificação como produtor rural pessoa física.</w:t>
      </w:r>
    </w:p>
    <w:p w14:paraId="738634BF">
      <w:pPr>
        <w:pStyle w:val="24"/>
        <w:spacing w:before="0" w:beforeAutospacing="0" w:after="0" w:afterAutospacing="0"/>
        <w:rPr>
          <w:color w:val="000000"/>
        </w:rPr>
      </w:pPr>
      <w:r>
        <w:rPr>
          <w:color w:val="000000"/>
        </w:rPr>
        <w:t> </w:t>
      </w:r>
    </w:p>
    <w:p w14:paraId="7EA27965">
      <w:pPr>
        <w:pStyle w:val="24"/>
        <w:spacing w:before="204" w:beforeAutospacing="0" w:after="0" w:afterAutospacing="0"/>
        <w:rPr>
          <w:color w:val="000000"/>
        </w:rPr>
      </w:pPr>
      <w:r>
        <w:rPr>
          <w:color w:val="000000"/>
        </w:rPr>
        <w:t> </w:t>
      </w:r>
    </w:p>
    <w:p w14:paraId="3A181B31">
      <w:pPr>
        <w:pStyle w:val="24"/>
        <w:spacing w:before="0" w:beforeAutospacing="0" w:after="0" w:afterAutospacing="0"/>
        <w:rPr>
          <w:color w:val="000000"/>
        </w:rPr>
      </w:pPr>
      <w:r>
        <w:rPr>
          <w:color w:val="000000"/>
        </w:rPr>
        <w:t>16.5  - Habilitação fiscal, social e trabalhista:</w:t>
      </w:r>
    </w:p>
    <w:p w14:paraId="49D7F83F">
      <w:pPr>
        <w:pStyle w:val="24"/>
        <w:rPr>
          <w:color w:val="000000"/>
        </w:rPr>
      </w:pPr>
      <w:r>
        <w:rPr>
          <w:color w:val="000000"/>
        </w:rPr>
        <w:t>16.5.1  - Prova de inscrição no Cadastro Nacional de Pessoas Jurídicas;</w:t>
      </w:r>
    </w:p>
    <w:p w14:paraId="7D5B73BB">
      <w:pPr>
        <w:pStyle w:val="24"/>
        <w:spacing w:before="241" w:beforeAutospacing="0" w:after="0" w:afterAutospacing="0"/>
        <w:ind w:left="124" w:right="127"/>
        <w:rPr>
          <w:color w:val="000000"/>
        </w:rPr>
      </w:pPr>
      <w:r>
        <w:rPr>
          <w:color w:val="000000"/>
        </w:rPr>
        <w:t>16.5.2     - 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w:t>
      </w:r>
    </w:p>
    <w:p w14:paraId="3873CDE3">
      <w:pPr>
        <w:pStyle w:val="24"/>
        <w:spacing w:before="62" w:beforeAutospacing="0" w:after="0" w:afterAutospacing="0"/>
        <w:ind w:right="128"/>
        <w:rPr>
          <w:color w:val="000000"/>
        </w:rPr>
      </w:pPr>
      <w:r>
        <w:rPr>
          <w:color w:val="000000"/>
        </w:rPr>
        <w:t>Conjunta nº 1.751, de 02 de outubro de 2014, do Secretário da Receita Federal do Brasil e da Procuradora-Geral da Fazenda Nacional;</w:t>
      </w:r>
    </w:p>
    <w:p w14:paraId="4DAE482B">
      <w:pPr>
        <w:pStyle w:val="24"/>
        <w:rPr>
          <w:color w:val="000000"/>
        </w:rPr>
      </w:pPr>
      <w:r>
        <w:rPr>
          <w:color w:val="000000"/>
        </w:rPr>
        <w:t>16.5.3  - Prova de regularidade com o Fundo de Garantia do Tempo de Serviço (FGTS);</w:t>
      </w:r>
    </w:p>
    <w:p w14:paraId="32137722">
      <w:pPr>
        <w:pStyle w:val="97"/>
        <w:spacing w:before="120" w:beforeAutospacing="0" w:after="120" w:afterAutospacing="0"/>
        <w:ind w:left="120" w:right="132" w:firstLine="132"/>
        <w:jc w:val="both"/>
        <w:rPr>
          <w:color w:val="000000"/>
        </w:rPr>
      </w:pPr>
      <w:r>
        <w:rPr>
          <w:color w:val="000000"/>
        </w:rPr>
        <w:t>16.5.4     - 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 16.5.5 - Prova de inscrição no cadastro de contribuintes [Estadual/Distrital] e/ou [Municipal/Distrital] relativo ao domicílio ou sede do fornecedor, pertinente ao seu ramo de atividade e compatível com o objeto contratual;</w:t>
      </w:r>
    </w:p>
    <w:p w14:paraId="2FCE2134">
      <w:pPr>
        <w:pStyle w:val="24"/>
        <w:spacing w:before="241" w:beforeAutospacing="0" w:after="0" w:afterAutospacing="0"/>
        <w:ind w:right="130"/>
        <w:rPr>
          <w:color w:val="000000"/>
        </w:rPr>
      </w:pPr>
      <w:r>
        <w:rPr>
          <w:color w:val="000000"/>
        </w:rPr>
        <w:t>16.5.6  - Prova de regularidade com a Fazenda [Estadual/Distrital] e/ou [Municipal/Distrital] do domicílio ou sede do fornecedor, relativa à atividade em cujo exercício contrata ou concorre;</w:t>
      </w:r>
    </w:p>
    <w:p w14:paraId="11DC972B">
      <w:pPr>
        <w:pStyle w:val="97"/>
        <w:spacing w:before="120" w:beforeAutospacing="0" w:after="120" w:afterAutospacing="0"/>
        <w:ind w:left="120" w:right="122" w:firstLine="72"/>
        <w:jc w:val="both"/>
        <w:rPr>
          <w:color w:val="000000"/>
        </w:rPr>
      </w:pPr>
      <w:r>
        <w:rPr>
          <w:color w:val="000000"/>
        </w:rPr>
        <w:t>16.5.7   - Caso o fornecedor seja considerado isento dos tributos [Estadual/Distrital] ou [Municipal/Distrital] relacionados ao objeto contratual, deverá comprovar tal condição mediante a apresentação de declaração da Fazenda respectiva do seu domicílio ou sede, ou outra equivalente, na forma da lei;</w:t>
      </w:r>
    </w:p>
    <w:p w14:paraId="56A006D7">
      <w:pPr>
        <w:pStyle w:val="97"/>
        <w:spacing w:before="120" w:beforeAutospacing="0" w:after="120" w:afterAutospacing="0"/>
        <w:ind w:left="120" w:right="121"/>
        <w:jc w:val="both"/>
        <w:rPr>
          <w:color w:val="000000"/>
        </w:rPr>
      </w:pPr>
      <w:r>
        <w:rPr>
          <w:color w:val="000000"/>
        </w:rPr>
        <w:t>16.5.8  - O fornecedor enquadrado como microempreendedor individual que pretenda auferir os benefícios do tratamento diferenciado previstos na Lei Complementar n. 123, de 2006, estará dispensado da prova de inscrição nos cadastros de contribuintes estadual e municipal.</w:t>
      </w:r>
    </w:p>
    <w:p w14:paraId="0BD6DA35">
      <w:pPr>
        <w:pStyle w:val="97"/>
        <w:spacing w:before="120" w:beforeAutospacing="0" w:after="120" w:afterAutospacing="0"/>
        <w:ind w:left="120" w:right="121"/>
        <w:jc w:val="both"/>
        <w:rPr>
          <w:color w:val="000000"/>
        </w:rPr>
      </w:pPr>
    </w:p>
    <w:p w14:paraId="5433451D">
      <w:pPr>
        <w:pStyle w:val="97"/>
        <w:spacing w:before="120" w:beforeAutospacing="0" w:after="120" w:afterAutospacing="0"/>
        <w:ind w:right="120"/>
        <w:jc w:val="both"/>
        <w:rPr>
          <w:color w:val="000000"/>
        </w:rPr>
      </w:pPr>
      <w:r>
        <w:rPr>
          <w:color w:val="000000"/>
        </w:rPr>
        <w:t>16.6  </w:t>
      </w:r>
      <w:r>
        <w:rPr>
          <w:color w:val="000000"/>
          <w:shd w:val="clear" w:color="auto" w:fill="FFFF00"/>
        </w:rPr>
        <w:t>- Qualificação Econômico-Financeira:</w:t>
      </w:r>
    </w:p>
    <w:p w14:paraId="4DEF4FA9">
      <w:pPr>
        <w:pStyle w:val="24"/>
        <w:rPr>
          <w:color w:val="000000"/>
        </w:rPr>
      </w:pPr>
      <w:r>
        <w:rPr>
          <w:color w:val="000000"/>
        </w:rPr>
        <w:t>16.6.1  - Será exigido Qualificação Econômico Financeira, conforme exigência abaixo:</w:t>
      </w:r>
    </w:p>
    <w:p w14:paraId="70CFF656">
      <w:pPr>
        <w:pStyle w:val="24"/>
        <w:ind w:right="124"/>
        <w:rPr>
          <w:color w:val="000000"/>
        </w:rPr>
      </w:pPr>
      <w:r>
        <w:rPr>
          <w:color w:val="000000"/>
        </w:rPr>
        <w:t>I   - Certidão negativa de falência expedida pelo distribuidor da sede do fornecedor - Lei nº 14.133, de 2021, art. 69, caput, inciso II);</w:t>
      </w:r>
    </w:p>
    <w:p w14:paraId="752A2951">
      <w:pPr>
        <w:pStyle w:val="24"/>
        <w:ind w:right="132"/>
        <w:rPr>
          <w:color w:val="000000"/>
        </w:rPr>
      </w:pPr>
      <w:r>
        <w:rPr>
          <w:color w:val="000000"/>
        </w:rPr>
        <w:t>II   - Balanço patrimonial, demonstração de resultado de exercício e demais demonstrações contábeis dos 2 (dois) últimos exercícios sociais, comprovando:</w:t>
      </w:r>
    </w:p>
    <w:p w14:paraId="6D7FEDCD">
      <w:pPr>
        <w:pStyle w:val="24"/>
        <w:rPr>
          <w:color w:val="000000"/>
        </w:rPr>
      </w:pPr>
      <w:r>
        <w:rPr>
          <w:color w:val="000000"/>
        </w:rPr>
        <w:t>III.  índices de Liquidez Geral (LG), Liquidez Corrente (LC), e Solvência Geral (SG) superiores a 1 (um);</w:t>
      </w:r>
    </w:p>
    <w:p w14:paraId="5FD2C888">
      <w:pPr>
        <w:pStyle w:val="97"/>
        <w:spacing w:before="120" w:beforeAutospacing="0" w:after="120" w:afterAutospacing="0"/>
        <w:ind w:left="120" w:right="172" w:firstLine="96"/>
        <w:jc w:val="both"/>
        <w:rPr>
          <w:color w:val="000000"/>
        </w:rPr>
      </w:pPr>
      <w:r>
        <w:rPr>
          <w:color w:val="000000"/>
        </w:rPr>
        <w:t>IV.  As empresas criadas no exercício financeiro da licitação deverão atender a todas as exigências da habilitação e poderão substituir os demonstrativos contábeis pelo balanço de abertura; e</w:t>
      </w:r>
    </w:p>
    <w:p w14:paraId="3463FB60">
      <w:pPr>
        <w:pStyle w:val="97"/>
        <w:spacing w:before="120" w:beforeAutospacing="0" w:after="120" w:afterAutospacing="0"/>
        <w:ind w:left="120" w:right="168" w:firstLine="84"/>
        <w:jc w:val="both"/>
        <w:rPr>
          <w:color w:val="000000"/>
        </w:rPr>
      </w:pPr>
      <w:r>
        <w:rPr>
          <w:color w:val="000000"/>
        </w:rPr>
        <w:t>V.  Os documentos referidos acima limitar-se-ão ao último exercício no caso de a pessoa jurídica ter sido constituída há menos de 2 (dois) anos;</w:t>
      </w:r>
    </w:p>
    <w:p w14:paraId="7AAF4FEA">
      <w:pPr>
        <w:pStyle w:val="97"/>
        <w:spacing w:before="120" w:beforeAutospacing="0" w:after="120" w:afterAutospacing="0"/>
        <w:ind w:left="120" w:right="122" w:firstLine="72"/>
        <w:jc w:val="both"/>
        <w:rPr>
          <w:color w:val="000000"/>
        </w:rPr>
      </w:pPr>
      <w:r>
        <w:rPr>
          <w:color w:val="000000"/>
        </w:rPr>
        <w:t>VI.   Os documentos referidos acima deverão ser exigidos com base no limite definido pela Receita Federal do Brasil para transmissão da Escrituração Contábil Digital - ECD ao Sped;</w:t>
      </w:r>
    </w:p>
    <w:p w14:paraId="3299AD22">
      <w:pPr>
        <w:pStyle w:val="24"/>
        <w:spacing w:before="241" w:beforeAutospacing="0" w:after="0" w:afterAutospacing="0"/>
        <w:ind w:right="123" w:firstLine="84"/>
        <w:rPr>
          <w:color w:val="000000"/>
        </w:rPr>
      </w:pPr>
      <w:r>
        <w:rPr>
          <w:color w:val="000000"/>
        </w:rPr>
        <w:t>VII.   Caso a empresa licitante apresente resultado inferior ou igual a 1 (um) em qualquer dos índices de Liquidez Geral (LG), Solvência Geral (SG) e Liquidez Corrente (LC), será exigido para fins de habilitação [capital mínimo] OU [patrimônio líquido mínimo] de ......% [até 10%] do [valor total estimado da contratação] OU [valor total estimado da parcela pertinente];</w:t>
      </w:r>
    </w:p>
    <w:p w14:paraId="4C93C532">
      <w:pPr>
        <w:pStyle w:val="97"/>
        <w:spacing w:before="120" w:beforeAutospacing="0" w:after="120" w:afterAutospacing="0"/>
        <w:ind w:left="120" w:right="125" w:firstLine="96"/>
        <w:jc w:val="both"/>
        <w:rPr>
          <w:color w:val="000000"/>
        </w:rPr>
      </w:pPr>
      <w:r>
        <w:rPr>
          <w:color w:val="000000"/>
        </w:rPr>
        <w:t>VIII.   As empresas criadas no exercício financeiro da licitação deverão atender a todas as exigências da habilitação e poderão substituir os demonstrativos contábeis pelo balanço de abertura. (Lei nº 14.133, de 2021, art. 65, §1º).</w:t>
      </w:r>
    </w:p>
    <w:p w14:paraId="0C7519C3">
      <w:pPr>
        <w:pStyle w:val="97"/>
        <w:spacing w:before="120" w:beforeAutospacing="0" w:after="120" w:afterAutospacing="0"/>
        <w:ind w:left="120" w:right="125" w:firstLine="96"/>
        <w:jc w:val="both"/>
        <w:rPr>
          <w:color w:val="000000"/>
        </w:rPr>
      </w:pPr>
    </w:p>
    <w:p w14:paraId="5C00F2D1">
      <w:pPr>
        <w:pStyle w:val="97"/>
        <w:spacing w:before="120" w:beforeAutospacing="0" w:after="120" w:afterAutospacing="0"/>
        <w:ind w:right="120"/>
        <w:jc w:val="both"/>
        <w:rPr>
          <w:color w:val="000000"/>
        </w:rPr>
      </w:pPr>
      <w:r>
        <w:rPr>
          <w:color w:val="000000"/>
        </w:rPr>
        <w:t>17  </w:t>
      </w:r>
      <w:r>
        <w:rPr>
          <w:color w:val="000000"/>
          <w:shd w:val="clear" w:color="auto" w:fill="FFFF00"/>
        </w:rPr>
        <w:t>– Estimativas do Valor da Contratação</w:t>
      </w:r>
      <w:r>
        <w:rPr>
          <w:color w:val="000000"/>
        </w:rPr>
        <w:t>:</w:t>
      </w:r>
    </w:p>
    <w:p w14:paraId="2B702C18">
      <w:pPr>
        <w:pStyle w:val="24"/>
        <w:spacing w:before="241" w:beforeAutospacing="0" w:after="0" w:afterAutospacing="0" w:line="446" w:lineRule="atLeast"/>
        <w:ind w:right="2970"/>
        <w:rPr>
          <w:color w:val="000000"/>
        </w:rPr>
      </w:pPr>
      <w:r>
        <w:rPr>
          <w:color w:val="000000"/>
        </w:rPr>
        <w:t>17.1   </w:t>
      </w:r>
      <w:r>
        <w:rPr>
          <w:rStyle w:val="11"/>
          <w:color w:val="000000"/>
        </w:rPr>
        <w:t>– R$ 172.223,53 (cento e setenta e dois mil duzentos e vinte e três reais e cinquenta e três centavos)</w:t>
      </w:r>
    </w:p>
    <w:p w14:paraId="09586B57">
      <w:pPr>
        <w:pStyle w:val="97"/>
        <w:spacing w:before="120" w:beforeAutospacing="0" w:after="120" w:afterAutospacing="0"/>
        <w:ind w:left="120" w:right="144"/>
        <w:jc w:val="both"/>
        <w:rPr>
          <w:color w:val="000000"/>
        </w:rPr>
      </w:pPr>
      <w:r>
        <w:rPr>
          <w:color w:val="000000"/>
        </w:rPr>
        <w:t>17.2   - As despesas decorrentes da presente contratação correrão à conta de recursos específicos consignados no Orçamento do Município de Valença/RJ;</w:t>
      </w:r>
    </w:p>
    <w:p w14:paraId="201A9B2F">
      <w:pPr>
        <w:pStyle w:val="24"/>
        <w:spacing w:before="241" w:beforeAutospacing="0" w:after="0" w:afterAutospacing="0"/>
        <w:ind w:right="125"/>
        <w:rPr>
          <w:color w:val="000000"/>
        </w:rPr>
      </w:pPr>
      <w:r>
        <w:rPr>
          <w:color w:val="000000"/>
        </w:rPr>
        <w:t>17.2.1   – Para o fim do disposto, a despesa decorrente do Processo, tem adequação orçamentária e financeira anual e compatibilidade com o Plano Plurianual – PPA, com Lei de Diretrizes Orçamentárias LDO, E Lei Orçamentária Anual – LOA, sendo constatada a existência de dotação orçamentária: </w:t>
      </w:r>
      <w:r>
        <w:rPr>
          <w:rStyle w:val="11"/>
          <w:color w:val="000000"/>
        </w:rPr>
        <w:t>dotação orçamentária conforme emenda parlamentar.</w:t>
      </w:r>
    </w:p>
    <w:p w14:paraId="6152A3AC">
      <w:pPr>
        <w:pStyle w:val="24"/>
        <w:spacing w:before="0" w:beforeAutospacing="0" w:after="0" w:afterAutospacing="0"/>
        <w:rPr>
          <w:color w:val="000000"/>
        </w:rPr>
      </w:pPr>
      <w:r>
        <w:rPr>
          <w:rStyle w:val="11"/>
          <w:color w:val="000000"/>
        </w:rPr>
        <w:t> </w:t>
      </w:r>
    </w:p>
    <w:p w14:paraId="3A5DED94">
      <w:pPr>
        <w:pStyle w:val="97"/>
        <w:spacing w:before="120" w:beforeAutospacing="0" w:after="120" w:afterAutospacing="0"/>
        <w:ind w:right="120"/>
        <w:jc w:val="both"/>
        <w:rPr>
          <w:b/>
          <w:color w:val="000000"/>
        </w:rPr>
      </w:pPr>
      <w:r>
        <w:rPr>
          <w:b/>
          <w:color w:val="000000"/>
        </w:rPr>
        <w:t>18  </w:t>
      </w:r>
      <w:r>
        <w:rPr>
          <w:b/>
          <w:color w:val="000000"/>
          <w:shd w:val="clear" w:color="auto" w:fill="FFFF00"/>
        </w:rPr>
        <w:t>- INFORMAÇÕES COMPLEMENTARES:</w:t>
      </w:r>
    </w:p>
    <w:p w14:paraId="4070166A">
      <w:pPr>
        <w:pStyle w:val="97"/>
        <w:spacing w:before="120" w:beforeAutospacing="0" w:after="120" w:afterAutospacing="0"/>
        <w:ind w:left="120" w:right="130" w:firstLine="120"/>
        <w:jc w:val="both"/>
        <w:rPr>
          <w:color w:val="000000"/>
        </w:rPr>
      </w:pPr>
      <w:r>
        <w:rPr>
          <w:color w:val="000000"/>
        </w:rPr>
        <w:t>18.1    - As empresas são responsáveis pela fidelidade e legitimidade das informações prestadas e dos documentos apresentados. A falsidade de qualquer documento apresentado ou a inverdade das informações nele contidas implicará na imediata rescisão contratual, sem prejuízo das sanções administrativas, civis e penais cabíveis;</w:t>
      </w:r>
    </w:p>
    <w:p w14:paraId="2718BD92">
      <w:pPr>
        <w:pStyle w:val="24"/>
        <w:spacing w:before="241" w:beforeAutospacing="0" w:after="0" w:afterAutospacing="0"/>
        <w:ind w:right="131"/>
        <w:rPr>
          <w:color w:val="000000"/>
        </w:rPr>
      </w:pPr>
      <w:r>
        <w:rPr>
          <w:color w:val="000000"/>
        </w:rPr>
        <w:t>18.2   - Toda a documentação apresentada neste procedimento e seus anexos são complementares entre si, de modo que qualquer detalhe que se mencione em um documento e se omita em outro será considerado especificado e válido.</w:t>
      </w:r>
    </w:p>
    <w:p w14:paraId="0AB6576F">
      <w:pPr>
        <w:pStyle w:val="24"/>
        <w:spacing w:before="0" w:beforeAutospacing="0" w:after="165" w:afterAutospacing="0"/>
        <w:ind w:left="360"/>
        <w:jc w:val="both"/>
        <w:rPr>
          <w:color w:val="000000"/>
          <w:sz w:val="27"/>
          <w:szCs w:val="27"/>
        </w:rPr>
      </w:pPr>
    </w:p>
    <w:p w14:paraId="431D509B">
      <w:pPr>
        <w:spacing w:before="288" w:beforeLines="120" w:after="288" w:afterLines="120" w:line="288" w:lineRule="auto"/>
        <w:rPr>
          <w:sz w:val="24"/>
          <w:szCs w:val="24"/>
        </w:rPr>
      </w:pPr>
    </w:p>
    <w:p w14:paraId="06890D2C">
      <w:pPr>
        <w:spacing w:before="288" w:beforeLines="120" w:after="288" w:afterLines="120" w:line="288" w:lineRule="auto"/>
        <w:rPr>
          <w:sz w:val="24"/>
          <w:szCs w:val="24"/>
        </w:rPr>
      </w:pPr>
    </w:p>
    <w:p w14:paraId="5C62A0E7">
      <w:pPr>
        <w:spacing w:before="288" w:beforeLines="120" w:after="288" w:afterLines="120" w:line="288" w:lineRule="auto"/>
        <w:ind w:left="284"/>
        <w:contextualSpacing/>
        <w:jc w:val="center"/>
        <w:rPr>
          <w:rFonts w:eastAsia="MS Mincho"/>
          <w:b/>
          <w:sz w:val="24"/>
          <w:szCs w:val="24"/>
        </w:rPr>
      </w:pPr>
      <w:r>
        <w:rPr>
          <w:rFonts w:eastAsia="MS Mincho"/>
          <w:b/>
          <w:sz w:val="24"/>
          <w:szCs w:val="24"/>
        </w:rPr>
        <w:t>ANEXO II</w:t>
      </w:r>
    </w:p>
    <w:p w14:paraId="7AE0F782">
      <w:pPr>
        <w:spacing w:before="288" w:beforeLines="120" w:after="288" w:afterLines="120" w:line="288" w:lineRule="auto"/>
        <w:ind w:left="284"/>
        <w:contextualSpacing/>
        <w:jc w:val="center"/>
        <w:rPr>
          <w:rFonts w:eastAsia="MS Mincho" w:asciiTheme="minorHAnsi" w:hAnsiTheme="minorHAnsi" w:cstheme="minorHAnsi"/>
          <w:b/>
          <w:sz w:val="24"/>
          <w:szCs w:val="24"/>
        </w:rPr>
      </w:pPr>
    </w:p>
    <w:p w14:paraId="4EC3A7CB">
      <w:pPr>
        <w:ind w:left="284"/>
        <w:jc w:val="center"/>
        <w:rPr>
          <w:b/>
          <w:color w:val="000000"/>
          <w:sz w:val="24"/>
          <w:szCs w:val="24"/>
          <w:u w:val="single"/>
        </w:rPr>
      </w:pPr>
      <w:r>
        <w:rPr>
          <w:b/>
          <w:color w:val="000000"/>
          <w:sz w:val="24"/>
          <w:szCs w:val="24"/>
        </w:rPr>
        <w:t xml:space="preserve">    </w:t>
      </w:r>
      <w:r>
        <w:rPr>
          <w:b/>
          <w:color w:val="000000"/>
          <w:sz w:val="24"/>
          <w:szCs w:val="24"/>
          <w:highlight w:val="yellow"/>
          <w:u w:val="single"/>
        </w:rPr>
        <w:t>ESTUDO TÉCNICO PRELIMINAR</w:t>
      </w:r>
    </w:p>
    <w:p w14:paraId="4308E379">
      <w:pPr>
        <w:ind w:left="284"/>
        <w:jc w:val="center"/>
        <w:rPr>
          <w:b/>
          <w:sz w:val="24"/>
          <w:szCs w:val="24"/>
          <w:u w:val="single"/>
        </w:rPr>
      </w:pPr>
    </w:p>
    <w:p w14:paraId="30D2A17A">
      <w:pPr>
        <w:spacing w:after="165"/>
        <w:rPr>
          <w:b/>
          <w:bCs/>
          <w:color w:val="000000"/>
          <w:sz w:val="24"/>
          <w:szCs w:val="24"/>
          <w:u w:val="single"/>
        </w:rPr>
      </w:pPr>
      <w:r>
        <w:rPr>
          <w:b/>
          <w:bCs/>
          <w:color w:val="000000"/>
          <w:sz w:val="24"/>
          <w:szCs w:val="24"/>
          <w:u w:val="single"/>
        </w:rPr>
        <w:t>ESTUDO TÉCNICO PRELIMINAR (ETP), PARA AQUISIÇÃO DE VEÍCULO DE 7 LUGARES, PARA ATENDER A SECRETARIA MUNICIPAL DE ASSISTÊNCIA, ESPORTE, E ENVELHECIMENTO SAUDÁVEL.</w:t>
      </w:r>
    </w:p>
    <w:p w14:paraId="67AE8B56">
      <w:pPr>
        <w:spacing w:before="241"/>
        <w:rPr>
          <w:color w:val="000000"/>
          <w:sz w:val="24"/>
          <w:szCs w:val="24"/>
        </w:rPr>
      </w:pPr>
    </w:p>
    <w:p w14:paraId="63D61C93">
      <w:pPr>
        <w:spacing w:before="241"/>
        <w:rPr>
          <w:color w:val="000000"/>
          <w:sz w:val="24"/>
          <w:szCs w:val="24"/>
        </w:rPr>
      </w:pPr>
      <w:r>
        <w:rPr>
          <w:b/>
          <w:bCs/>
          <w:color w:val="000000"/>
          <w:sz w:val="24"/>
          <w:szCs w:val="24"/>
        </w:rPr>
        <w:t>1  </w:t>
      </w:r>
      <w:r>
        <w:rPr>
          <w:b/>
          <w:bCs/>
          <w:color w:val="000000"/>
          <w:sz w:val="24"/>
          <w:szCs w:val="24"/>
          <w:shd w:val="clear" w:color="auto" w:fill="FFFF00"/>
        </w:rPr>
        <w:t>- Indicação do objeto que se pretende contratar:</w:t>
      </w:r>
    </w:p>
    <w:p w14:paraId="2813296B">
      <w:pPr>
        <w:spacing w:before="100" w:beforeAutospacing="1" w:after="100" w:afterAutospacing="1"/>
        <w:ind w:right="123" w:firstLine="72"/>
        <w:rPr>
          <w:color w:val="000000"/>
          <w:sz w:val="24"/>
          <w:szCs w:val="24"/>
        </w:rPr>
      </w:pPr>
      <w:r>
        <w:rPr>
          <w:color w:val="000000"/>
          <w:sz w:val="24"/>
          <w:szCs w:val="24"/>
        </w:rPr>
        <w:t>1.1   - </w:t>
      </w:r>
      <w:r>
        <w:rPr>
          <w:b/>
          <w:bCs/>
          <w:color w:val="000000"/>
          <w:sz w:val="24"/>
          <w:szCs w:val="24"/>
        </w:rPr>
        <w:t>REGISTRO DE PREÇO</w:t>
      </w:r>
      <w:r>
        <w:rPr>
          <w:color w:val="000000"/>
          <w:sz w:val="24"/>
          <w:szCs w:val="24"/>
        </w:rPr>
        <w:t>, visando futura e eventual aquisição de veículo: carro de 7 lugares (SUV), conforme especificações e quantitativo estabelecidos neste documento;</w:t>
      </w:r>
    </w:p>
    <w:p w14:paraId="0228A493">
      <w:pPr>
        <w:spacing w:before="100" w:beforeAutospacing="1" w:after="100" w:afterAutospacing="1"/>
        <w:rPr>
          <w:color w:val="000000"/>
          <w:sz w:val="24"/>
          <w:szCs w:val="24"/>
        </w:rPr>
      </w:pPr>
      <w:r>
        <w:rPr>
          <w:color w:val="000000"/>
          <w:sz w:val="24"/>
          <w:szCs w:val="24"/>
        </w:rPr>
        <w:t>1.2  </w:t>
      </w:r>
      <w:r>
        <w:rPr>
          <w:color w:val="000000"/>
          <w:sz w:val="24"/>
          <w:szCs w:val="24"/>
          <w:shd w:val="clear" w:color="auto" w:fill="FFFF00"/>
        </w:rPr>
        <w:t>- Justificativa da utilização do Sistema de Registro de Preços (SRP):</w:t>
      </w:r>
    </w:p>
    <w:p w14:paraId="6C3E3F71">
      <w:pPr>
        <w:spacing w:before="100" w:beforeAutospacing="1" w:after="100" w:afterAutospacing="1"/>
        <w:ind w:right="128" w:firstLine="60"/>
        <w:rPr>
          <w:color w:val="000000"/>
          <w:sz w:val="24"/>
          <w:szCs w:val="24"/>
        </w:rPr>
      </w:pPr>
      <w:r>
        <w:rPr>
          <w:color w:val="000000"/>
          <w:sz w:val="24"/>
          <w:szCs w:val="24"/>
        </w:rPr>
        <w:t>A opção de utilizar o Sistema de Registro de Preços (SRP), justifica-se pela impossibilidade de prever o real quantitativo a ser demandado, bem como pela necessidade de contratações frequentes e conveniência de entregas parceladas, solicitadas de acordo com a demanda do Contratante, estando em concordância com o disposto no Art. 82 da Lei nº 14.133, de 2021.</w:t>
      </w:r>
    </w:p>
    <w:p w14:paraId="2B14BA0E">
      <w:pPr>
        <w:spacing w:before="100" w:beforeAutospacing="1" w:after="100" w:afterAutospacing="1"/>
        <w:rPr>
          <w:b/>
          <w:color w:val="000000"/>
          <w:sz w:val="24"/>
          <w:szCs w:val="24"/>
        </w:rPr>
      </w:pPr>
      <w:r>
        <w:rPr>
          <w:b/>
          <w:color w:val="000000"/>
          <w:sz w:val="24"/>
          <w:szCs w:val="24"/>
        </w:rPr>
        <w:t>2  </w:t>
      </w:r>
      <w:r>
        <w:rPr>
          <w:b/>
          <w:color w:val="000000"/>
          <w:sz w:val="24"/>
          <w:szCs w:val="24"/>
          <w:shd w:val="clear" w:color="auto" w:fill="FFFF00"/>
        </w:rPr>
        <w:t>- Descrição da necessidade:</w:t>
      </w:r>
    </w:p>
    <w:p w14:paraId="55327A22">
      <w:pPr>
        <w:spacing w:before="100" w:beforeAutospacing="1" w:after="100" w:afterAutospacing="1"/>
        <w:ind w:right="127" w:firstLine="84"/>
        <w:rPr>
          <w:color w:val="000000"/>
          <w:sz w:val="24"/>
          <w:szCs w:val="24"/>
        </w:rPr>
      </w:pPr>
      <w:r>
        <w:rPr>
          <w:color w:val="000000"/>
          <w:sz w:val="24"/>
          <w:szCs w:val="24"/>
        </w:rPr>
        <w:t>2.1   - A aquisição do veículo justifica-se, em razão da necessidade em atendimentos, devido ao aumento constante de serviços na Secretaria Municipal de Assistência, Esporte, e Envelhecimento Saudável, sendo que o veículo também trará uma melhor eficiência e eficácia, nas operações e atividades aos quais necessita, buscando a ampliação e melhoramento no atendimento com agilidade, conforto e segurança.</w:t>
      </w:r>
    </w:p>
    <w:p w14:paraId="0C845C65">
      <w:pPr>
        <w:spacing w:before="100" w:beforeAutospacing="1" w:after="100" w:afterAutospacing="1"/>
        <w:rPr>
          <w:b/>
          <w:color w:val="000000"/>
          <w:sz w:val="24"/>
          <w:szCs w:val="24"/>
        </w:rPr>
      </w:pPr>
      <w:r>
        <w:rPr>
          <w:b/>
          <w:color w:val="000000"/>
          <w:sz w:val="24"/>
          <w:szCs w:val="24"/>
        </w:rPr>
        <w:t>3  </w:t>
      </w:r>
      <w:r>
        <w:rPr>
          <w:b/>
          <w:color w:val="000000"/>
          <w:sz w:val="24"/>
          <w:szCs w:val="24"/>
          <w:shd w:val="clear" w:color="auto" w:fill="FFFF00"/>
        </w:rPr>
        <w:t>- Área requisitante:</w:t>
      </w:r>
    </w:p>
    <w:p w14:paraId="4CD953B3">
      <w:pPr>
        <w:spacing w:before="100" w:beforeAutospacing="1" w:after="100" w:afterAutospacing="1"/>
        <w:ind w:left="184"/>
        <w:rPr>
          <w:color w:val="000000"/>
          <w:sz w:val="24"/>
          <w:szCs w:val="24"/>
        </w:rPr>
      </w:pPr>
      <w:r>
        <w:rPr>
          <w:color w:val="000000"/>
          <w:sz w:val="24"/>
          <w:szCs w:val="24"/>
        </w:rPr>
        <w:t>Secretaria Municipal de Assistência, Esporte, e Envelhecimento Saudável.</w:t>
      </w:r>
    </w:p>
    <w:p w14:paraId="486CDF08">
      <w:pPr>
        <w:spacing w:before="100" w:beforeAutospacing="1" w:after="100" w:afterAutospacing="1"/>
        <w:rPr>
          <w:b/>
          <w:color w:val="000000"/>
          <w:sz w:val="24"/>
          <w:szCs w:val="24"/>
        </w:rPr>
      </w:pPr>
      <w:r>
        <w:rPr>
          <w:b/>
          <w:color w:val="000000"/>
          <w:sz w:val="24"/>
          <w:szCs w:val="24"/>
        </w:rPr>
        <w:t>4  </w:t>
      </w:r>
      <w:r>
        <w:rPr>
          <w:b/>
          <w:color w:val="000000"/>
          <w:sz w:val="24"/>
          <w:szCs w:val="24"/>
          <w:shd w:val="clear" w:color="auto" w:fill="FFFF00"/>
        </w:rPr>
        <w:t>- Descrição dos Requisitos da Contratação:</w:t>
      </w:r>
    </w:p>
    <w:p w14:paraId="13B50A0E">
      <w:pPr>
        <w:spacing w:before="100" w:beforeAutospacing="1" w:after="100" w:afterAutospacing="1"/>
        <w:rPr>
          <w:color w:val="000000"/>
          <w:sz w:val="24"/>
          <w:szCs w:val="24"/>
        </w:rPr>
      </w:pPr>
      <w:r>
        <w:rPr>
          <w:color w:val="000000"/>
          <w:sz w:val="24"/>
          <w:szCs w:val="24"/>
        </w:rPr>
        <w:t>4.1  - Da natureza da Contratação:</w:t>
      </w:r>
    </w:p>
    <w:p w14:paraId="234F6DE4">
      <w:pPr>
        <w:spacing w:before="100" w:beforeAutospacing="1" w:after="100" w:afterAutospacing="1"/>
        <w:ind w:right="128" w:firstLine="60"/>
        <w:rPr>
          <w:color w:val="000000"/>
          <w:sz w:val="24"/>
          <w:szCs w:val="24"/>
        </w:rPr>
      </w:pPr>
      <w:r>
        <w:rPr>
          <w:color w:val="000000"/>
          <w:sz w:val="24"/>
          <w:szCs w:val="24"/>
        </w:rPr>
        <w:t>4.1.1   - A natureza do objeto deste ETP dadas suas características, enquadra-se em bens comuns nos termos da Lei nº 14.133/2021, cujos padrões de desempenho e qualidade podem ser objetivamente definidos pelo edital, por meio de especificações usuais de mercado, devendo, portanto, ser licitado por meio do Pregão, preferencialmente na forma Eletrônica;</w:t>
      </w:r>
    </w:p>
    <w:p w14:paraId="39377D26">
      <w:pPr>
        <w:spacing w:before="100" w:beforeAutospacing="1" w:after="100" w:afterAutospacing="1"/>
        <w:rPr>
          <w:color w:val="000000"/>
          <w:sz w:val="24"/>
          <w:szCs w:val="24"/>
        </w:rPr>
      </w:pPr>
      <w:r>
        <w:rPr>
          <w:color w:val="000000"/>
          <w:sz w:val="24"/>
          <w:szCs w:val="24"/>
        </w:rPr>
        <w:t>4.2  - Prazo de vigência da Ata de Registro de Preço:</w:t>
      </w:r>
    </w:p>
    <w:p w14:paraId="20C8F2EC">
      <w:pPr>
        <w:spacing w:before="241"/>
        <w:ind w:left="124" w:right="126" w:firstLine="60"/>
        <w:rPr>
          <w:color w:val="000000"/>
          <w:sz w:val="24"/>
          <w:szCs w:val="24"/>
        </w:rPr>
      </w:pPr>
      <w:r>
        <w:rPr>
          <w:color w:val="000000"/>
          <w:sz w:val="24"/>
          <w:szCs w:val="24"/>
        </w:rPr>
        <w:t>4.2.1   - O prazo de vigência da Ata de Registro de Preços será de 01 (um) ano, contado a partir do primeiro dia útil subsequente à sua assinatura, podendo ser prorrogada por igual período, mediante a anuência do fornecedor, desde que comprovado o preço vantajoso;</w:t>
      </w:r>
    </w:p>
    <w:p w14:paraId="581C1296">
      <w:pPr>
        <w:spacing w:before="100" w:beforeAutospacing="1" w:after="100" w:afterAutospacing="1"/>
        <w:ind w:right="126" w:firstLine="108"/>
        <w:rPr>
          <w:color w:val="000000"/>
          <w:sz w:val="24"/>
          <w:szCs w:val="24"/>
        </w:rPr>
      </w:pPr>
      <w:r>
        <w:rPr>
          <w:color w:val="000000"/>
          <w:sz w:val="24"/>
          <w:szCs w:val="24"/>
        </w:rPr>
        <w:t>4.2.2    - 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p>
    <w:p w14:paraId="4801EFF0">
      <w:pPr>
        <w:spacing w:before="62"/>
        <w:rPr>
          <w:color w:val="000000"/>
          <w:sz w:val="24"/>
          <w:szCs w:val="24"/>
        </w:rPr>
      </w:pPr>
      <w:r>
        <w:rPr>
          <w:color w:val="000000"/>
          <w:sz w:val="24"/>
          <w:szCs w:val="24"/>
        </w:rPr>
        <w:t>4.3  – Sustentabilidade:</w:t>
      </w:r>
    </w:p>
    <w:p w14:paraId="0D5EB62A">
      <w:pPr>
        <w:spacing w:before="100" w:beforeAutospacing="1" w:after="100" w:afterAutospacing="1"/>
        <w:ind w:right="142" w:firstLine="84"/>
        <w:rPr>
          <w:color w:val="000000"/>
          <w:sz w:val="24"/>
          <w:szCs w:val="24"/>
        </w:rPr>
      </w:pPr>
      <w:r>
        <w:rPr>
          <w:color w:val="000000"/>
          <w:sz w:val="24"/>
          <w:szCs w:val="24"/>
        </w:rPr>
        <w:t>4.3.1   - Além dos critérios de sustentabilidade eventualmente inseridos na descrição do objeto, devem ser atendidos os requisitos exigidos neste tópico;</w:t>
      </w:r>
    </w:p>
    <w:p w14:paraId="057F12EC">
      <w:pPr>
        <w:spacing w:before="100" w:beforeAutospacing="1" w:after="100" w:afterAutospacing="1"/>
        <w:ind w:right="207" w:firstLine="72"/>
        <w:rPr>
          <w:color w:val="000000"/>
          <w:sz w:val="24"/>
          <w:szCs w:val="24"/>
        </w:rPr>
      </w:pPr>
      <w:r>
        <w:rPr>
          <w:color w:val="000000"/>
          <w:sz w:val="24"/>
          <w:szCs w:val="24"/>
        </w:rPr>
        <w:t>4.3.2   - A CONTRATADA deve conduzir suas ações em conformidade com os requisitos legais aplicáveis, observando também a legislação ambiental para a prevenção de adversidades ao meio ambiente;</w:t>
      </w:r>
    </w:p>
    <w:p w14:paraId="77059AE8">
      <w:pPr>
        <w:spacing w:before="100" w:beforeAutospacing="1" w:after="100" w:afterAutospacing="1"/>
        <w:ind w:right="122" w:firstLine="120"/>
        <w:rPr>
          <w:color w:val="000000"/>
          <w:sz w:val="24"/>
          <w:szCs w:val="24"/>
        </w:rPr>
      </w:pPr>
      <w:r>
        <w:rPr>
          <w:color w:val="000000"/>
          <w:sz w:val="24"/>
          <w:szCs w:val="24"/>
        </w:rPr>
        <w:t>4.3.3     - Com relação aos critérios de sustentabilidade, os produtos deverão respeitar as normas e os princípios ambientais, minimizando ou mitigando os efeitos dos danos ao meio ambiente, utilizando, sempre que possível e disponível, tecnologias e materiais ecologicamente corretos, bem como promovendo a racionalização de recursos naturais;</w:t>
      </w:r>
    </w:p>
    <w:p w14:paraId="2D14B8CF">
      <w:pPr>
        <w:spacing w:before="241"/>
        <w:ind w:left="124" w:right="124" w:firstLine="60"/>
        <w:rPr>
          <w:color w:val="000000"/>
          <w:sz w:val="24"/>
          <w:szCs w:val="24"/>
        </w:rPr>
      </w:pPr>
      <w:r>
        <w:rPr>
          <w:color w:val="000000"/>
          <w:sz w:val="24"/>
          <w:szCs w:val="24"/>
        </w:rPr>
        <w:t>4.3.4  - São proibidas, à contratada, as seguintes formas de destinação ou disposição final de resíduos sólidos ou rejeitos originados da fabricação dos bens contratados:</w:t>
      </w:r>
    </w:p>
    <w:p w14:paraId="0F02A0DD">
      <w:pPr>
        <w:spacing w:before="100" w:beforeAutospacing="1" w:after="100" w:afterAutospacing="1"/>
        <w:rPr>
          <w:color w:val="000000"/>
          <w:sz w:val="24"/>
          <w:szCs w:val="24"/>
        </w:rPr>
      </w:pPr>
      <w:r>
        <w:rPr>
          <w:color w:val="000000"/>
          <w:sz w:val="24"/>
          <w:szCs w:val="24"/>
        </w:rPr>
        <w:t>4.3.4.1  - lançamento em praias, no mar ou em quaisquer corpos hídricos;</w:t>
      </w:r>
    </w:p>
    <w:p w14:paraId="72E1F295">
      <w:pPr>
        <w:spacing w:before="100" w:beforeAutospacing="1" w:after="100" w:afterAutospacing="1"/>
        <w:rPr>
          <w:color w:val="000000"/>
          <w:sz w:val="24"/>
          <w:szCs w:val="24"/>
        </w:rPr>
      </w:pPr>
      <w:r>
        <w:rPr>
          <w:color w:val="000000"/>
          <w:sz w:val="24"/>
          <w:szCs w:val="24"/>
        </w:rPr>
        <w:t>4.3.4.2  - lançamento in natura a céu aberto, excetuados os resíduos de mineração;</w:t>
      </w:r>
    </w:p>
    <w:p w14:paraId="61243616">
      <w:pPr>
        <w:spacing w:before="100" w:beforeAutospacing="1" w:after="100" w:afterAutospacing="1"/>
        <w:ind w:right="124" w:firstLine="96"/>
        <w:rPr>
          <w:color w:val="000000"/>
          <w:sz w:val="24"/>
          <w:szCs w:val="24"/>
        </w:rPr>
      </w:pPr>
      <w:r>
        <w:rPr>
          <w:color w:val="000000"/>
          <w:sz w:val="24"/>
          <w:szCs w:val="24"/>
        </w:rPr>
        <w:t>4.3.4.3    - queima a céu aberto ou em recipientes, instalações e equipamentos não licenciados para essa finalidade; e outras formas vedadas pelo Poder Público.</w:t>
      </w:r>
    </w:p>
    <w:p w14:paraId="453BE2DA">
      <w:pPr>
        <w:spacing w:before="100" w:beforeAutospacing="1" w:after="100" w:afterAutospacing="1"/>
        <w:rPr>
          <w:b/>
          <w:color w:val="000000"/>
          <w:sz w:val="24"/>
          <w:szCs w:val="24"/>
        </w:rPr>
      </w:pPr>
      <w:r>
        <w:rPr>
          <w:b/>
          <w:color w:val="000000"/>
          <w:sz w:val="24"/>
          <w:szCs w:val="24"/>
        </w:rPr>
        <w:t>5  </w:t>
      </w:r>
      <w:r>
        <w:rPr>
          <w:b/>
          <w:color w:val="000000"/>
          <w:sz w:val="24"/>
          <w:szCs w:val="24"/>
          <w:shd w:val="clear" w:color="auto" w:fill="FFFF00"/>
        </w:rPr>
        <w:t>- Levantamento de Mercado:</w:t>
      </w:r>
    </w:p>
    <w:p w14:paraId="257A9E83">
      <w:pPr>
        <w:spacing w:before="100" w:beforeAutospacing="1" w:after="100" w:afterAutospacing="1"/>
        <w:ind w:right="124" w:firstLine="60"/>
        <w:rPr>
          <w:color w:val="000000"/>
          <w:sz w:val="24"/>
          <w:szCs w:val="24"/>
        </w:rPr>
      </w:pPr>
      <w:r>
        <w:rPr>
          <w:color w:val="000000"/>
          <w:sz w:val="24"/>
          <w:szCs w:val="24"/>
        </w:rPr>
        <w:t>5.1  - Após levantamento, não identificamos alternativas de solução no mercado para o problema apresentado que não seja a aquisição na forma descrita nesse estudo. Para a contratação em tela, verificou-se contratações similares feitas por outros órgãos e entidades da Administração, no intuito de identificar melhores práticas, metodologias e soluções que melhor se adequassem a nossa necessidade. Na oportunidade, constatamos que a forma de contratação é similar aos modelos adotados em outras contratações, no âmbito da Administração Pública. Salienta-se ainda, que esta é a forma atual adotada, atendendo perfeitamente as necessidades da administração.</w:t>
      </w:r>
    </w:p>
    <w:p w14:paraId="6C1FCED8">
      <w:pPr>
        <w:spacing w:before="100" w:beforeAutospacing="1" w:after="100" w:afterAutospacing="1"/>
        <w:rPr>
          <w:b/>
          <w:color w:val="000000"/>
          <w:sz w:val="24"/>
          <w:szCs w:val="24"/>
        </w:rPr>
      </w:pPr>
      <w:r>
        <w:rPr>
          <w:b/>
          <w:color w:val="000000"/>
          <w:sz w:val="24"/>
          <w:szCs w:val="24"/>
        </w:rPr>
        <w:t>6  </w:t>
      </w:r>
      <w:r>
        <w:rPr>
          <w:b/>
          <w:color w:val="000000"/>
          <w:sz w:val="24"/>
          <w:szCs w:val="24"/>
          <w:shd w:val="clear" w:color="auto" w:fill="FFFF00"/>
        </w:rPr>
        <w:t>- Descrição da solução como um todo:</w:t>
      </w:r>
    </w:p>
    <w:p w14:paraId="1B4F2AB5">
      <w:pPr>
        <w:spacing w:before="100" w:beforeAutospacing="1" w:after="100" w:afterAutospacing="1"/>
        <w:ind w:right="122" w:firstLine="72"/>
        <w:rPr>
          <w:color w:val="000000"/>
          <w:sz w:val="24"/>
          <w:szCs w:val="24"/>
        </w:rPr>
      </w:pPr>
      <w:r>
        <w:rPr>
          <w:color w:val="000000"/>
          <w:sz w:val="24"/>
          <w:szCs w:val="24"/>
        </w:rPr>
        <w:t>6.1   - </w:t>
      </w:r>
      <w:r>
        <w:rPr>
          <w:b/>
          <w:bCs/>
          <w:color w:val="000000"/>
          <w:sz w:val="24"/>
          <w:szCs w:val="24"/>
        </w:rPr>
        <w:t>REGISTRO DE PREÇO</w:t>
      </w:r>
      <w:r>
        <w:rPr>
          <w:color w:val="000000"/>
          <w:sz w:val="24"/>
          <w:szCs w:val="24"/>
        </w:rPr>
        <w:t>, visando futura e eventual aquisição de veículo: carro de 7 (sete) lugares, tipo SUV, conforme condições, quantidades e exigências, estabelecidas neste instrumento;</w:t>
      </w:r>
    </w:p>
    <w:p w14:paraId="47262D82">
      <w:pPr>
        <w:spacing w:before="100" w:beforeAutospacing="1" w:after="100" w:afterAutospacing="1"/>
        <w:ind w:right="121" w:firstLine="120"/>
        <w:rPr>
          <w:color w:val="000000"/>
          <w:sz w:val="24"/>
          <w:szCs w:val="24"/>
        </w:rPr>
      </w:pPr>
      <w:r>
        <w:rPr>
          <w:color w:val="000000"/>
          <w:sz w:val="24"/>
          <w:szCs w:val="24"/>
        </w:rPr>
        <w:t>6.2     - As especificações técnicas contidas no presente documento, inclusive quanto ao detalhamento, requisitos, características, e quantitativos do objeto da contratação, foi definido por esta Secretaria, com base em parâmetros técnicos objetivos, para a melhor consecução do interesse público, do qual está identificado no final e aprova o presente instrumento e seus anexos;</w:t>
      </w:r>
    </w:p>
    <w:p w14:paraId="1EACA035">
      <w:pPr>
        <w:spacing w:before="241"/>
        <w:ind w:left="124" w:right="147" w:firstLine="60"/>
        <w:rPr>
          <w:color w:val="000000"/>
          <w:sz w:val="24"/>
          <w:szCs w:val="24"/>
        </w:rPr>
      </w:pPr>
      <w:r>
        <w:rPr>
          <w:color w:val="000000"/>
          <w:sz w:val="24"/>
          <w:szCs w:val="24"/>
        </w:rPr>
        <w:t>6.3   - Registre-se que, a especificação técnica do objeto será tratado no item 07 deste ETP, de modo que sua inclusão aqui seria redundante;</w:t>
      </w:r>
    </w:p>
    <w:p w14:paraId="5F8ACBC5">
      <w:pPr>
        <w:spacing w:before="100" w:beforeAutospacing="1" w:after="100" w:afterAutospacing="1"/>
        <w:ind w:right="122" w:firstLine="84"/>
        <w:rPr>
          <w:color w:val="000000"/>
          <w:sz w:val="24"/>
          <w:szCs w:val="24"/>
        </w:rPr>
      </w:pPr>
      <w:r>
        <w:rPr>
          <w:color w:val="000000"/>
          <w:sz w:val="24"/>
          <w:szCs w:val="24"/>
        </w:rPr>
        <w:t>6.4   - Para a melhor consecução do interesse público a contratada deverá atender as seguintes exigências relacionadas à manutenção e à assistência técnica: revisão obrigatória, conforme a fabricante ou concessionária.</w:t>
      </w:r>
    </w:p>
    <w:p w14:paraId="6AB83F72">
      <w:pPr>
        <w:spacing w:before="100" w:beforeAutospacing="1" w:after="100" w:afterAutospacing="1"/>
        <w:rPr>
          <w:b/>
          <w:color w:val="000000"/>
          <w:sz w:val="24"/>
          <w:szCs w:val="24"/>
        </w:rPr>
      </w:pPr>
      <w:r>
        <w:rPr>
          <w:b/>
          <w:color w:val="000000"/>
          <w:sz w:val="24"/>
          <w:szCs w:val="24"/>
          <w:highlight w:val="yellow"/>
        </w:rPr>
        <w:t>7  - Estimativa das Quantidades a serem contratadas:</w:t>
      </w:r>
    </w:p>
    <w:p w14:paraId="3966F46C">
      <w:pPr>
        <w:spacing w:before="18"/>
        <w:rPr>
          <w:color w:val="000000"/>
          <w:sz w:val="24"/>
          <w:szCs w:val="24"/>
        </w:rPr>
      </w:pPr>
      <w:r>
        <w:rPr>
          <w:color w:val="000000"/>
          <w:sz w:val="24"/>
          <w:szCs w:val="24"/>
        </w:rPr>
        <w:t> </w:t>
      </w:r>
    </w:p>
    <w:tbl>
      <w:tblPr>
        <w:tblStyle w:val="10"/>
        <w:tblW w:w="0" w:type="auto"/>
        <w:tblInd w:w="931" w:type="dxa"/>
        <w:tblLayout w:type="autofit"/>
        <w:tblCellMar>
          <w:top w:w="0" w:type="dxa"/>
          <w:left w:w="0" w:type="dxa"/>
          <w:bottom w:w="0" w:type="dxa"/>
          <w:right w:w="0" w:type="dxa"/>
        </w:tblCellMar>
      </w:tblPr>
      <w:tblGrid>
        <w:gridCol w:w="778"/>
        <w:gridCol w:w="3953"/>
        <w:gridCol w:w="1299"/>
        <w:gridCol w:w="1817"/>
      </w:tblGrid>
      <w:tr w14:paraId="63498484">
        <w:trPr>
          <w:trHeight w:val="273" w:hRule="atLeast"/>
        </w:trPr>
        <w:tc>
          <w:tcPr>
            <w:tcW w:w="924" w:type="dxa"/>
            <w:tcBorders>
              <w:top w:val="single" w:color="000000" w:sz="8" w:space="0"/>
              <w:left w:val="single" w:color="000000" w:sz="8" w:space="0"/>
              <w:bottom w:val="single" w:color="000000" w:sz="8" w:space="0"/>
              <w:right w:val="single" w:color="000000" w:sz="8" w:space="0"/>
            </w:tcBorders>
          </w:tcPr>
          <w:p w14:paraId="3DBB9E50">
            <w:pPr>
              <w:spacing w:before="216" w:after="216"/>
              <w:rPr>
                <w:sz w:val="24"/>
                <w:szCs w:val="24"/>
              </w:rPr>
            </w:pPr>
            <w:r>
              <w:rPr>
                <w:b/>
                <w:bCs/>
                <w:sz w:val="24"/>
                <w:szCs w:val="24"/>
              </w:rPr>
              <w:t>ITEM</w:t>
            </w:r>
          </w:p>
        </w:tc>
        <w:tc>
          <w:tcPr>
            <w:tcW w:w="4753" w:type="dxa"/>
            <w:tcBorders>
              <w:top w:val="single" w:color="000000" w:sz="8" w:space="0"/>
              <w:left w:val="nil"/>
              <w:bottom w:val="single" w:color="000000" w:sz="8" w:space="0"/>
              <w:right w:val="single" w:color="000000" w:sz="8" w:space="0"/>
            </w:tcBorders>
          </w:tcPr>
          <w:p w14:paraId="61B53D0D">
            <w:pPr>
              <w:ind w:left="1853"/>
              <w:rPr>
                <w:sz w:val="24"/>
                <w:szCs w:val="24"/>
              </w:rPr>
            </w:pPr>
            <w:r>
              <w:rPr>
                <w:b/>
                <w:bCs/>
                <w:sz w:val="24"/>
                <w:szCs w:val="24"/>
              </w:rPr>
              <w:t>DESCRIÇÃO</w:t>
            </w:r>
          </w:p>
        </w:tc>
        <w:tc>
          <w:tcPr>
            <w:tcW w:w="1356" w:type="dxa"/>
            <w:tcBorders>
              <w:top w:val="single" w:color="000000" w:sz="8" w:space="0"/>
              <w:left w:val="nil"/>
              <w:bottom w:val="single" w:color="000000" w:sz="8" w:space="0"/>
              <w:right w:val="single" w:color="000000" w:sz="8" w:space="0"/>
            </w:tcBorders>
          </w:tcPr>
          <w:p w14:paraId="00F3FB56">
            <w:pPr>
              <w:ind w:left="113"/>
              <w:rPr>
                <w:sz w:val="24"/>
                <w:szCs w:val="24"/>
              </w:rPr>
            </w:pPr>
            <w:r>
              <w:rPr>
                <w:b/>
                <w:bCs/>
                <w:sz w:val="24"/>
                <w:szCs w:val="24"/>
              </w:rPr>
              <w:t>UNIDADE</w:t>
            </w:r>
          </w:p>
        </w:tc>
        <w:tc>
          <w:tcPr>
            <w:tcW w:w="1872" w:type="dxa"/>
            <w:tcBorders>
              <w:top w:val="single" w:color="000000" w:sz="8" w:space="0"/>
              <w:left w:val="nil"/>
              <w:bottom w:val="single" w:color="000000" w:sz="8" w:space="0"/>
              <w:right w:val="single" w:color="000000" w:sz="8" w:space="0"/>
            </w:tcBorders>
          </w:tcPr>
          <w:p w14:paraId="2AFDBD07">
            <w:pPr>
              <w:ind w:left="113"/>
              <w:rPr>
                <w:sz w:val="24"/>
                <w:szCs w:val="24"/>
              </w:rPr>
            </w:pPr>
            <w:r>
              <w:rPr>
                <w:b/>
                <w:bCs/>
                <w:sz w:val="24"/>
                <w:szCs w:val="24"/>
              </w:rPr>
              <w:t>QUANTIDADE</w:t>
            </w:r>
          </w:p>
        </w:tc>
      </w:tr>
    </w:tbl>
    <w:p w14:paraId="166DB288">
      <w:pPr>
        <w:spacing w:before="7"/>
        <w:rPr>
          <w:color w:val="000000"/>
          <w:sz w:val="24"/>
          <w:szCs w:val="24"/>
        </w:rPr>
      </w:pPr>
      <w:r>
        <w:rPr>
          <w:color w:val="000000"/>
          <w:sz w:val="24"/>
          <w:szCs w:val="24"/>
        </w:rPr>
        <w:t> </w:t>
      </w:r>
    </w:p>
    <w:tbl>
      <w:tblPr>
        <w:tblStyle w:val="10"/>
        <w:tblW w:w="0" w:type="auto"/>
        <w:tblInd w:w="931" w:type="dxa"/>
        <w:tblLayout w:type="autofit"/>
        <w:tblCellMar>
          <w:top w:w="0" w:type="dxa"/>
          <w:left w:w="0" w:type="dxa"/>
          <w:bottom w:w="0" w:type="dxa"/>
          <w:right w:w="0" w:type="dxa"/>
        </w:tblCellMar>
      </w:tblPr>
      <w:tblGrid>
        <w:gridCol w:w="767"/>
        <w:gridCol w:w="4140"/>
        <w:gridCol w:w="1330"/>
        <w:gridCol w:w="1610"/>
      </w:tblGrid>
      <w:tr w14:paraId="6E4C5C3E">
        <w:tblPrEx>
          <w:tblCellMar>
            <w:top w:w="0" w:type="dxa"/>
            <w:left w:w="0" w:type="dxa"/>
            <w:bottom w:w="0" w:type="dxa"/>
            <w:right w:w="0" w:type="dxa"/>
          </w:tblCellMar>
        </w:tblPrEx>
        <w:trPr>
          <w:trHeight w:val="5722" w:hRule="atLeast"/>
        </w:trPr>
        <w:tc>
          <w:tcPr>
            <w:tcW w:w="924" w:type="dxa"/>
            <w:tcBorders>
              <w:top w:val="single" w:color="000000" w:sz="8" w:space="0"/>
              <w:left w:val="single" w:color="000000" w:sz="8" w:space="0"/>
              <w:bottom w:val="single" w:color="000000" w:sz="8" w:space="0"/>
              <w:right w:val="single" w:color="000000" w:sz="8" w:space="0"/>
            </w:tcBorders>
          </w:tcPr>
          <w:p w14:paraId="0966BCDD">
            <w:pPr>
              <w:spacing w:line="266" w:lineRule="atLeast"/>
              <w:rPr>
                <w:sz w:val="24"/>
                <w:szCs w:val="24"/>
              </w:rPr>
            </w:pPr>
            <w:r>
              <w:rPr>
                <w:sz w:val="24"/>
                <w:szCs w:val="24"/>
              </w:rPr>
              <w:t>1</w:t>
            </w:r>
          </w:p>
        </w:tc>
        <w:tc>
          <w:tcPr>
            <w:tcW w:w="4753" w:type="dxa"/>
            <w:tcBorders>
              <w:top w:val="single" w:color="000000" w:sz="8" w:space="0"/>
              <w:left w:val="nil"/>
              <w:bottom w:val="single" w:color="000000" w:sz="8" w:space="0"/>
              <w:right w:val="single" w:color="000000" w:sz="8" w:space="0"/>
            </w:tcBorders>
          </w:tcPr>
          <w:p w14:paraId="45681944">
            <w:pPr>
              <w:ind w:right="93"/>
              <w:jc w:val="both"/>
              <w:rPr>
                <w:sz w:val="24"/>
                <w:szCs w:val="24"/>
              </w:rPr>
            </w:pPr>
            <w:r>
              <w:rPr>
                <w:b/>
                <w:bCs/>
                <w:sz w:val="24"/>
                <w:szCs w:val="24"/>
              </w:rPr>
              <w:t>Veículo automotor de 7 (sete) lugares, 0 km, cor branca, ano modelo: 2026/2026, ou superior, direção elétrica, motor 1.0 turbo flex, câmbio CVT de 7 marchas, central multimídia de 10 polegadas, 6 alto falantes, ar-condicionado central, porta malas de 398 litros, 1 porta USB de recarga/dados e 2 portas USB para carregamento rápido na 2ª fila, </w:t>
            </w:r>
            <w:r>
              <w:rPr>
                <w:b/>
                <w:bCs/>
                <w:color w:val="535C7D"/>
                <w:sz w:val="24"/>
                <w:szCs w:val="24"/>
              </w:rPr>
              <w:t>b</w:t>
            </w:r>
            <w:r>
              <w:rPr>
                <w:b/>
                <w:bCs/>
                <w:sz w:val="24"/>
                <w:szCs w:val="24"/>
              </w:rPr>
              <w:t>anco do motorista com ajuste de altura, bancos traseiros rebatíveis e maçanetas na cor da carroceria, tanque de combustível de 47 litros, ar-condicionado, vidros elétricos, banco do motorista com ajuste de altura, airbags laterais, rodas de liga leve de 16”, sensor de estacionamento traseiro, e demais itens de série exigidos pelo CONTRAN, garantia total de 36 meses.</w:t>
            </w:r>
          </w:p>
        </w:tc>
        <w:tc>
          <w:tcPr>
            <w:tcW w:w="1356" w:type="dxa"/>
            <w:tcBorders>
              <w:top w:val="single" w:color="000000" w:sz="8" w:space="0"/>
              <w:left w:val="nil"/>
              <w:bottom w:val="single" w:color="000000" w:sz="8" w:space="0"/>
              <w:right w:val="single" w:color="000000" w:sz="8" w:space="0"/>
            </w:tcBorders>
          </w:tcPr>
          <w:p w14:paraId="459E1B45">
            <w:pPr>
              <w:spacing w:line="266" w:lineRule="atLeast"/>
              <w:ind w:left="113"/>
              <w:rPr>
                <w:sz w:val="24"/>
                <w:szCs w:val="24"/>
              </w:rPr>
            </w:pPr>
            <w:r>
              <w:rPr>
                <w:sz w:val="24"/>
                <w:szCs w:val="24"/>
              </w:rPr>
              <w:t>UNIDADE</w:t>
            </w:r>
          </w:p>
        </w:tc>
        <w:tc>
          <w:tcPr>
            <w:tcW w:w="1872" w:type="dxa"/>
            <w:tcBorders>
              <w:top w:val="single" w:color="000000" w:sz="8" w:space="0"/>
              <w:left w:val="nil"/>
              <w:bottom w:val="single" w:color="000000" w:sz="8" w:space="0"/>
              <w:right w:val="single" w:color="000000" w:sz="8" w:space="0"/>
            </w:tcBorders>
          </w:tcPr>
          <w:p w14:paraId="5D89108A">
            <w:pPr>
              <w:spacing w:line="266" w:lineRule="atLeast"/>
              <w:ind w:right="307"/>
              <w:jc w:val="center"/>
              <w:rPr>
                <w:sz w:val="24"/>
                <w:szCs w:val="24"/>
              </w:rPr>
            </w:pPr>
            <w:r>
              <w:rPr>
                <w:sz w:val="24"/>
                <w:szCs w:val="24"/>
              </w:rPr>
              <w:t>01</w:t>
            </w:r>
          </w:p>
        </w:tc>
      </w:tr>
    </w:tbl>
    <w:p w14:paraId="5A2D0838">
      <w:pPr>
        <w:rPr>
          <w:color w:val="000000"/>
          <w:sz w:val="24"/>
          <w:szCs w:val="24"/>
        </w:rPr>
      </w:pPr>
      <w:r>
        <w:rPr>
          <w:color w:val="000000"/>
          <w:sz w:val="24"/>
          <w:szCs w:val="24"/>
        </w:rPr>
        <w:t> </w:t>
      </w:r>
    </w:p>
    <w:p w14:paraId="0CA136E6">
      <w:pPr>
        <w:spacing w:before="100" w:beforeAutospacing="1" w:after="100" w:afterAutospacing="1"/>
        <w:rPr>
          <w:color w:val="000000"/>
          <w:sz w:val="24"/>
          <w:szCs w:val="24"/>
        </w:rPr>
      </w:pPr>
      <w:r>
        <w:rPr>
          <w:color w:val="000000"/>
          <w:sz w:val="24"/>
          <w:szCs w:val="24"/>
        </w:rPr>
        <w:t>7.1  </w:t>
      </w:r>
      <w:r>
        <w:rPr>
          <w:color w:val="000000"/>
          <w:sz w:val="24"/>
          <w:szCs w:val="24"/>
          <w:shd w:val="clear" w:color="auto" w:fill="FFFF00"/>
        </w:rPr>
        <w:t>- Metodologia de cálculo dos quantitativos:</w:t>
      </w:r>
    </w:p>
    <w:p w14:paraId="1FC3C4E9">
      <w:pPr>
        <w:spacing w:before="100" w:beforeAutospacing="1" w:after="100" w:afterAutospacing="1"/>
        <w:ind w:right="121" w:firstLine="72"/>
        <w:rPr>
          <w:color w:val="000000"/>
          <w:sz w:val="24"/>
          <w:szCs w:val="24"/>
        </w:rPr>
      </w:pPr>
      <w:r>
        <w:rPr>
          <w:color w:val="000000"/>
          <w:sz w:val="24"/>
          <w:szCs w:val="24"/>
        </w:rPr>
        <w:t>7.1.1   - O dimensionamento do quantitativo foi obtido com base no histórico das aquisições realizadas por este município nos últimos anos;</w:t>
      </w:r>
    </w:p>
    <w:p w14:paraId="3465F0B1">
      <w:pPr>
        <w:spacing w:before="100" w:beforeAutospacing="1" w:after="100" w:afterAutospacing="1"/>
        <w:ind w:right="130" w:firstLine="72"/>
        <w:rPr>
          <w:color w:val="000000"/>
          <w:sz w:val="24"/>
          <w:szCs w:val="24"/>
        </w:rPr>
      </w:pPr>
      <w:r>
        <w:rPr>
          <w:color w:val="000000"/>
          <w:sz w:val="24"/>
          <w:szCs w:val="24"/>
        </w:rPr>
        <w:t>7.1.2   - Por se tratar de Registro de Preços, não se obriga a contratante a cumprir os quantitativos previstos neste Estudo Técnico Preliminar, sendo certo que, para efeito de pagamento, somente serão considerados os itens efetivamente entregues pela fornecedora e aceitos pela fiscalização.</w:t>
      </w:r>
    </w:p>
    <w:p w14:paraId="45CF8C2B">
      <w:pPr>
        <w:spacing w:before="100" w:beforeAutospacing="1" w:after="100" w:afterAutospacing="1"/>
        <w:rPr>
          <w:b/>
          <w:color w:val="000000"/>
          <w:sz w:val="24"/>
          <w:szCs w:val="24"/>
        </w:rPr>
      </w:pPr>
      <w:r>
        <w:rPr>
          <w:b/>
          <w:color w:val="000000"/>
          <w:sz w:val="24"/>
          <w:szCs w:val="24"/>
        </w:rPr>
        <w:t>8  </w:t>
      </w:r>
      <w:r>
        <w:rPr>
          <w:b/>
          <w:color w:val="000000"/>
          <w:sz w:val="24"/>
          <w:szCs w:val="24"/>
          <w:shd w:val="clear" w:color="auto" w:fill="FFFF00"/>
        </w:rPr>
        <w:t>- Estimativa do Valor da Contratação:</w:t>
      </w:r>
    </w:p>
    <w:p w14:paraId="46412D9B">
      <w:pPr>
        <w:spacing w:before="241"/>
        <w:ind w:left="124" w:right="125" w:firstLine="72"/>
        <w:rPr>
          <w:color w:val="000000"/>
          <w:sz w:val="24"/>
          <w:szCs w:val="24"/>
        </w:rPr>
      </w:pPr>
      <w:r>
        <w:rPr>
          <w:color w:val="000000"/>
          <w:sz w:val="24"/>
          <w:szCs w:val="24"/>
        </w:rPr>
        <w:t>8.1   </w:t>
      </w:r>
      <w:r>
        <w:rPr>
          <w:b/>
          <w:bCs/>
          <w:color w:val="000000"/>
          <w:sz w:val="24"/>
          <w:szCs w:val="24"/>
        </w:rPr>
        <w:t>- O valor estimado da contratação é de: R$ 172.223,53 </w:t>
      </w:r>
      <w:r>
        <w:rPr>
          <w:color w:val="000000"/>
          <w:sz w:val="24"/>
          <w:szCs w:val="24"/>
        </w:rPr>
        <w:t>(cento e setenta e dois mil duzentos e vinte e três reais e cinquenta e três centavos).</w:t>
      </w:r>
    </w:p>
    <w:p w14:paraId="4D7F60EF">
      <w:pPr>
        <w:spacing w:before="100" w:beforeAutospacing="1" w:after="100" w:afterAutospacing="1"/>
        <w:ind w:right="123" w:firstLine="60"/>
        <w:rPr>
          <w:color w:val="000000"/>
          <w:sz w:val="24"/>
          <w:szCs w:val="24"/>
        </w:rPr>
      </w:pPr>
      <w:r>
        <w:rPr>
          <w:color w:val="000000"/>
          <w:sz w:val="24"/>
          <w:szCs w:val="24"/>
        </w:rPr>
        <w:t>8.2   - O valor estimado da contratação foi elaborado seguindo as regras previstas </w:t>
      </w:r>
      <w:r>
        <w:rPr>
          <w:b/>
          <w:bCs/>
          <w:color w:val="000000"/>
          <w:sz w:val="24"/>
          <w:szCs w:val="24"/>
        </w:rPr>
        <w:t>no art. 23 da Lei Federal nº 14.133/2021, </w:t>
      </w:r>
      <w:r>
        <w:rPr>
          <w:color w:val="000000"/>
          <w:sz w:val="24"/>
          <w:szCs w:val="24"/>
        </w:rPr>
        <w:t>acompanhados dos preços unitários referenciais, das memórias de cálculo e dos documentos que lhe dão suporte, com os parâmetros utilizados para a obtenção dos preços e para os respectivos cálculos, os quais foram utilizados para elaboração do orçamento estimativo.</w:t>
      </w:r>
    </w:p>
    <w:p w14:paraId="2AB6918F">
      <w:pPr>
        <w:spacing w:before="100" w:beforeAutospacing="1" w:after="100" w:afterAutospacing="1"/>
        <w:rPr>
          <w:b/>
          <w:color w:val="000000"/>
          <w:sz w:val="24"/>
          <w:szCs w:val="24"/>
        </w:rPr>
      </w:pPr>
      <w:r>
        <w:rPr>
          <w:b/>
          <w:color w:val="000000"/>
          <w:sz w:val="24"/>
          <w:szCs w:val="24"/>
        </w:rPr>
        <w:t>9  </w:t>
      </w:r>
      <w:r>
        <w:rPr>
          <w:b/>
          <w:color w:val="000000"/>
          <w:sz w:val="24"/>
          <w:szCs w:val="24"/>
          <w:shd w:val="clear" w:color="auto" w:fill="FFFF00"/>
        </w:rPr>
        <w:t>- Justificativa para o Parcelamento ou não da Solução:</w:t>
      </w:r>
    </w:p>
    <w:p w14:paraId="38FAE188">
      <w:pPr>
        <w:spacing w:before="100" w:beforeAutospacing="1" w:after="100" w:afterAutospacing="1"/>
        <w:ind w:right="128" w:firstLine="72"/>
        <w:rPr>
          <w:color w:val="000000"/>
          <w:sz w:val="24"/>
          <w:szCs w:val="24"/>
        </w:rPr>
      </w:pPr>
      <w:r>
        <w:rPr>
          <w:color w:val="000000"/>
          <w:sz w:val="24"/>
          <w:szCs w:val="24"/>
        </w:rPr>
        <w:t>9.1   - A regra a ser observada pela Administração nas licitações é a do parcelamento do objeto, conforme disposto no inciso V, alínea "b" do art. 40 da Lei Federal nº 14.133/2021, mas é imprescindível que a divisão do objeto seja tecnicamente viável e economicamente vantajosa e não represente perda de economia de escala.</w:t>
      </w:r>
    </w:p>
    <w:p w14:paraId="0BAAFC4B">
      <w:pPr>
        <w:spacing w:before="100" w:beforeAutospacing="1" w:after="100" w:afterAutospacing="1"/>
        <w:rPr>
          <w:b/>
          <w:color w:val="000000"/>
          <w:sz w:val="24"/>
          <w:szCs w:val="24"/>
        </w:rPr>
      </w:pPr>
      <w:r>
        <w:rPr>
          <w:b/>
          <w:color w:val="000000"/>
          <w:sz w:val="24"/>
          <w:szCs w:val="24"/>
        </w:rPr>
        <w:t>10  </w:t>
      </w:r>
      <w:r>
        <w:rPr>
          <w:b/>
          <w:color w:val="000000"/>
          <w:sz w:val="24"/>
          <w:szCs w:val="24"/>
          <w:shd w:val="clear" w:color="auto" w:fill="FFFF00"/>
        </w:rPr>
        <w:t>- Contratações Correlatas e/ou Interdependentes</w:t>
      </w:r>
      <w:r>
        <w:rPr>
          <w:b/>
          <w:color w:val="000000"/>
          <w:sz w:val="24"/>
          <w:szCs w:val="24"/>
        </w:rPr>
        <w:t>:</w:t>
      </w:r>
    </w:p>
    <w:p w14:paraId="399D9393">
      <w:pPr>
        <w:spacing w:before="100" w:beforeAutospacing="1" w:after="100" w:afterAutospacing="1"/>
        <w:ind w:right="121" w:firstLine="120"/>
        <w:rPr>
          <w:color w:val="000000"/>
          <w:sz w:val="24"/>
          <w:szCs w:val="24"/>
        </w:rPr>
      </w:pPr>
      <w:r>
        <w:rPr>
          <w:color w:val="000000"/>
          <w:sz w:val="24"/>
          <w:szCs w:val="24"/>
        </w:rPr>
        <w:t>10.1     - Entendemos não haver para o objeto em questão a previsão de contratação correlata e nem interdependente.</w:t>
      </w:r>
    </w:p>
    <w:p w14:paraId="6D334F6F">
      <w:pPr>
        <w:spacing w:before="100" w:beforeAutospacing="1" w:after="100" w:afterAutospacing="1"/>
        <w:rPr>
          <w:b/>
          <w:color w:val="000000"/>
          <w:sz w:val="24"/>
          <w:szCs w:val="24"/>
        </w:rPr>
      </w:pPr>
      <w:r>
        <w:rPr>
          <w:b/>
          <w:color w:val="000000"/>
          <w:sz w:val="24"/>
          <w:szCs w:val="24"/>
        </w:rPr>
        <w:t>11  </w:t>
      </w:r>
      <w:r>
        <w:rPr>
          <w:b/>
          <w:color w:val="000000"/>
          <w:sz w:val="24"/>
          <w:szCs w:val="24"/>
          <w:shd w:val="clear" w:color="auto" w:fill="FFFF00"/>
        </w:rPr>
        <w:t>- Demonstração da previsão da contratação no plano de contratações anual, quando elaborado</w:t>
      </w:r>
      <w:r>
        <w:rPr>
          <w:b/>
          <w:color w:val="000000"/>
          <w:sz w:val="24"/>
          <w:szCs w:val="24"/>
        </w:rPr>
        <w:t>:</w:t>
      </w:r>
    </w:p>
    <w:p w14:paraId="647B37C7">
      <w:pPr>
        <w:spacing w:before="241"/>
        <w:rPr>
          <w:color w:val="000000"/>
          <w:sz w:val="24"/>
          <w:szCs w:val="24"/>
        </w:rPr>
      </w:pPr>
      <w:r>
        <w:rPr>
          <w:color w:val="000000"/>
          <w:sz w:val="24"/>
          <w:szCs w:val="24"/>
        </w:rPr>
        <w:t>11.1  - A contratação pretendida está alinhada com o Planejamento previsto para o atual exercício.</w:t>
      </w:r>
    </w:p>
    <w:p w14:paraId="6617C134">
      <w:pPr>
        <w:spacing w:before="120" w:after="120"/>
        <w:ind w:left="120" w:right="120"/>
        <w:jc w:val="both"/>
        <w:rPr>
          <w:b/>
          <w:color w:val="000000"/>
          <w:sz w:val="24"/>
          <w:szCs w:val="24"/>
        </w:rPr>
      </w:pPr>
      <w:r>
        <w:rPr>
          <w:b/>
          <w:color w:val="000000"/>
          <w:sz w:val="24"/>
          <w:szCs w:val="24"/>
        </w:rPr>
        <w:t>12      </w:t>
      </w:r>
      <w:r>
        <w:rPr>
          <w:b/>
          <w:color w:val="000000"/>
          <w:sz w:val="24"/>
          <w:szCs w:val="24"/>
          <w:shd w:val="clear" w:color="auto" w:fill="FFFF00"/>
        </w:rPr>
        <w:t>- Demonstrativo dos resultados pretendidos em termos de economicidade e de melhor</w:t>
      </w:r>
      <w:r>
        <w:rPr>
          <w:b/>
          <w:color w:val="000000"/>
          <w:sz w:val="24"/>
          <w:szCs w:val="24"/>
        </w:rPr>
        <w:t> </w:t>
      </w:r>
      <w:r>
        <w:rPr>
          <w:b/>
          <w:color w:val="000000"/>
          <w:sz w:val="24"/>
          <w:szCs w:val="24"/>
          <w:shd w:val="clear" w:color="auto" w:fill="FFFF00"/>
        </w:rPr>
        <w:t>aproveitamento dos recursos humanos, materiais e financeiros disponíveis:</w:t>
      </w:r>
    </w:p>
    <w:p w14:paraId="385BE805">
      <w:pPr>
        <w:spacing w:before="100" w:beforeAutospacing="1" w:after="100" w:afterAutospacing="1"/>
        <w:rPr>
          <w:color w:val="000000"/>
          <w:sz w:val="24"/>
          <w:szCs w:val="24"/>
        </w:rPr>
      </w:pPr>
      <w:r>
        <w:rPr>
          <w:color w:val="000000"/>
          <w:sz w:val="24"/>
          <w:szCs w:val="24"/>
        </w:rPr>
        <w:t>12.1  - Pretende-se com esta contratação atingir os seguintes resultados:</w:t>
      </w:r>
    </w:p>
    <w:p w14:paraId="38E0D285">
      <w:pPr>
        <w:spacing w:before="120" w:after="120"/>
        <w:ind w:left="120" w:right="121" w:firstLine="108"/>
        <w:jc w:val="both"/>
        <w:rPr>
          <w:color w:val="000000"/>
          <w:sz w:val="24"/>
          <w:szCs w:val="24"/>
        </w:rPr>
      </w:pPr>
      <w:r>
        <w:rPr>
          <w:color w:val="000000"/>
          <w:sz w:val="24"/>
          <w:szCs w:val="24"/>
        </w:rPr>
        <w:t>Os resultados pretendidos com a contratação serão uma melhor eficiência e eficácia, nas operações e atividades aos quais necessita a Secretaria Municipal de Assistência, Esporte, e Envelhecimento Saudável, garantindo uma melhor ampliação e melhoramento no atendimento dos serviços com agilidade, conforto e segurança.</w:t>
      </w:r>
    </w:p>
    <w:p w14:paraId="23F915D4">
      <w:pPr>
        <w:spacing w:before="120" w:after="120"/>
        <w:ind w:right="120"/>
        <w:jc w:val="both"/>
        <w:rPr>
          <w:b/>
          <w:color w:val="000000"/>
          <w:sz w:val="24"/>
          <w:szCs w:val="24"/>
        </w:rPr>
      </w:pPr>
      <w:r>
        <w:rPr>
          <w:b/>
          <w:color w:val="000000"/>
          <w:sz w:val="24"/>
          <w:szCs w:val="24"/>
        </w:rPr>
        <w:t>13  </w:t>
      </w:r>
      <w:r>
        <w:rPr>
          <w:b/>
          <w:color w:val="000000"/>
          <w:sz w:val="24"/>
          <w:szCs w:val="24"/>
          <w:shd w:val="clear" w:color="auto" w:fill="FFFF00"/>
        </w:rPr>
        <w:t>- Providências a serem Adotadas:</w:t>
      </w:r>
    </w:p>
    <w:p w14:paraId="25C733DE">
      <w:pPr>
        <w:spacing w:before="120" w:after="120"/>
        <w:ind w:left="120" w:right="121" w:firstLine="60"/>
        <w:jc w:val="both"/>
        <w:rPr>
          <w:color w:val="000000"/>
          <w:sz w:val="24"/>
          <w:szCs w:val="24"/>
        </w:rPr>
      </w:pPr>
      <w:r>
        <w:rPr>
          <w:color w:val="000000"/>
          <w:sz w:val="24"/>
          <w:szCs w:val="24"/>
        </w:rPr>
        <w:t>13.1   - Não há providências a serem adotadas pela administração previamente à celebração do contrato, visto que não há necessidade de capacitação de fiscais e/ou gestores de contrato ou de adequação do ambiente da organização.</w:t>
      </w:r>
    </w:p>
    <w:p w14:paraId="15FBD656">
      <w:pPr>
        <w:spacing w:before="120" w:after="120"/>
        <w:ind w:left="120" w:right="120"/>
        <w:jc w:val="both"/>
        <w:rPr>
          <w:color w:val="000000"/>
          <w:sz w:val="24"/>
          <w:szCs w:val="24"/>
        </w:rPr>
      </w:pPr>
    </w:p>
    <w:p w14:paraId="661D9AEC">
      <w:pPr>
        <w:spacing w:before="120" w:after="120"/>
        <w:ind w:left="120" w:right="120"/>
        <w:jc w:val="both"/>
        <w:rPr>
          <w:b/>
          <w:color w:val="000000"/>
          <w:sz w:val="24"/>
          <w:szCs w:val="24"/>
        </w:rPr>
      </w:pPr>
      <w:r>
        <w:rPr>
          <w:b/>
          <w:color w:val="000000"/>
          <w:sz w:val="24"/>
          <w:szCs w:val="24"/>
        </w:rPr>
        <w:t>14  </w:t>
      </w:r>
      <w:r>
        <w:rPr>
          <w:b/>
          <w:color w:val="000000"/>
          <w:sz w:val="24"/>
          <w:szCs w:val="24"/>
          <w:shd w:val="clear" w:color="auto" w:fill="FFFF00"/>
        </w:rPr>
        <w:t>- Possíveis Impactos Ambientais e respectivas medidas mitigadoras</w:t>
      </w:r>
      <w:r>
        <w:rPr>
          <w:b/>
          <w:color w:val="000000"/>
          <w:sz w:val="24"/>
          <w:szCs w:val="24"/>
        </w:rPr>
        <w:t>:</w:t>
      </w:r>
    </w:p>
    <w:p w14:paraId="18CD3052">
      <w:pPr>
        <w:spacing w:before="100" w:beforeAutospacing="1" w:after="100" w:afterAutospacing="1"/>
        <w:rPr>
          <w:color w:val="000000"/>
          <w:sz w:val="24"/>
          <w:szCs w:val="24"/>
        </w:rPr>
      </w:pPr>
      <w:r>
        <w:rPr>
          <w:color w:val="000000"/>
          <w:sz w:val="24"/>
          <w:szCs w:val="24"/>
        </w:rPr>
        <w:t>14.1. Para que a contratada minimize os possíveis impactos ambientais, ela deverá:</w:t>
      </w:r>
    </w:p>
    <w:p w14:paraId="12C37270">
      <w:pPr>
        <w:spacing w:before="100" w:beforeAutospacing="1" w:after="100" w:afterAutospacing="1"/>
        <w:ind w:right="231"/>
        <w:rPr>
          <w:color w:val="000000"/>
          <w:sz w:val="24"/>
          <w:szCs w:val="24"/>
        </w:rPr>
      </w:pPr>
      <w:r>
        <w:rPr>
          <w:color w:val="000000"/>
          <w:sz w:val="24"/>
          <w:szCs w:val="24"/>
        </w:rPr>
        <w:t>Seguir os princípios que norteiam as licitações públicas e as boas práticas de sustentabilidade, conforme a Lei 14.133/2021.</w:t>
      </w:r>
    </w:p>
    <w:p w14:paraId="6F09F273">
      <w:pPr>
        <w:spacing w:before="120" w:after="120"/>
        <w:ind w:right="120"/>
        <w:jc w:val="both"/>
        <w:rPr>
          <w:b/>
          <w:color w:val="000000"/>
          <w:sz w:val="24"/>
          <w:szCs w:val="24"/>
        </w:rPr>
      </w:pPr>
      <w:r>
        <w:rPr>
          <w:b/>
          <w:color w:val="000000"/>
          <w:sz w:val="24"/>
          <w:szCs w:val="24"/>
        </w:rPr>
        <w:t>15  </w:t>
      </w:r>
      <w:r>
        <w:rPr>
          <w:b/>
          <w:color w:val="000000"/>
          <w:sz w:val="24"/>
          <w:szCs w:val="24"/>
          <w:shd w:val="clear" w:color="auto" w:fill="FFFF00"/>
        </w:rPr>
        <w:t>- Análise de Risco:</w:t>
      </w:r>
    </w:p>
    <w:p w14:paraId="6BA715B8">
      <w:pPr>
        <w:spacing w:before="120" w:after="120"/>
        <w:ind w:left="120" w:right="121" w:firstLine="60"/>
        <w:jc w:val="both"/>
        <w:rPr>
          <w:color w:val="000000"/>
          <w:sz w:val="24"/>
          <w:szCs w:val="24"/>
        </w:rPr>
      </w:pPr>
      <w:r>
        <w:rPr>
          <w:color w:val="000000"/>
          <w:sz w:val="24"/>
          <w:szCs w:val="24"/>
        </w:rPr>
        <w:t>15.1   - Conforme entendimento do TCU[1] “(...) o Estudo Técnico Preliminar, por si, já serve naturalmente, ao gerenciamento de riscos da futura contratação”. Cada elemento do ETP, permite de certa forma antecipar problemas, e prever oportunidades, orientando a tomada de decisão na fase de elaboração dos demais documentos, especialmente o Termo de Referência;</w:t>
      </w:r>
    </w:p>
    <w:p w14:paraId="03F91C13">
      <w:pPr>
        <w:spacing w:before="120" w:after="120"/>
        <w:ind w:left="120" w:right="132" w:firstLine="84"/>
        <w:jc w:val="both"/>
        <w:rPr>
          <w:color w:val="000000"/>
          <w:sz w:val="24"/>
          <w:szCs w:val="24"/>
        </w:rPr>
      </w:pPr>
      <w:r>
        <w:rPr>
          <w:color w:val="000000"/>
          <w:sz w:val="24"/>
          <w:szCs w:val="24"/>
        </w:rPr>
        <w:t>15.2   – Isto posto, no presente caso, por se tratar de contratação de baixa complexidade já conhecida da administração pública municipal, em que os próprios elementos do ETP já serviram ao gerenciamento de risco, não havendo necessidade de elaboração do Mapa de Risco na fase preparatória.</w:t>
      </w:r>
    </w:p>
    <w:p w14:paraId="7214FD00">
      <w:pPr>
        <w:spacing w:before="120" w:after="120"/>
        <w:ind w:left="120" w:right="132" w:firstLine="84"/>
        <w:jc w:val="both"/>
        <w:rPr>
          <w:color w:val="000000"/>
          <w:sz w:val="24"/>
          <w:szCs w:val="24"/>
        </w:rPr>
      </w:pPr>
    </w:p>
    <w:p w14:paraId="06B6AB7F">
      <w:pPr>
        <w:spacing w:before="120" w:after="120"/>
        <w:ind w:right="120"/>
        <w:jc w:val="both"/>
        <w:rPr>
          <w:b/>
          <w:color w:val="000000"/>
          <w:sz w:val="24"/>
          <w:szCs w:val="24"/>
        </w:rPr>
      </w:pPr>
      <w:r>
        <w:rPr>
          <w:b/>
          <w:color w:val="000000"/>
          <w:sz w:val="24"/>
          <w:szCs w:val="24"/>
        </w:rPr>
        <w:t>16  </w:t>
      </w:r>
      <w:r>
        <w:rPr>
          <w:b/>
          <w:color w:val="000000"/>
          <w:sz w:val="24"/>
          <w:szCs w:val="24"/>
          <w:shd w:val="clear" w:color="auto" w:fill="FFFF00"/>
        </w:rPr>
        <w:t>- Declaração de Viabilidade</w:t>
      </w:r>
      <w:r>
        <w:rPr>
          <w:b/>
          <w:color w:val="000000"/>
          <w:sz w:val="24"/>
          <w:szCs w:val="24"/>
        </w:rPr>
        <w:t>:</w:t>
      </w:r>
    </w:p>
    <w:p w14:paraId="28DDC928">
      <w:pPr>
        <w:spacing w:before="100" w:beforeAutospacing="1" w:after="100" w:afterAutospacing="1"/>
        <w:rPr>
          <w:color w:val="000000"/>
          <w:sz w:val="24"/>
          <w:szCs w:val="24"/>
        </w:rPr>
      </w:pPr>
      <w:r>
        <w:rPr>
          <w:color w:val="000000"/>
          <w:sz w:val="24"/>
          <w:szCs w:val="24"/>
        </w:rPr>
        <w:t>16.1  – Por todo exposto, declaramos viável esta contratação.</w:t>
      </w:r>
    </w:p>
    <w:p w14:paraId="5F7AC8D7">
      <w:pPr>
        <w:spacing w:before="100" w:beforeAutospacing="1" w:after="100" w:afterAutospacing="1"/>
        <w:rPr>
          <w:color w:val="000000"/>
          <w:sz w:val="24"/>
          <w:szCs w:val="24"/>
        </w:rPr>
      </w:pPr>
      <w:r>
        <w:rPr>
          <w:color w:val="000000"/>
          <w:sz w:val="24"/>
          <w:szCs w:val="24"/>
        </w:rPr>
        <w:t>16.1.1  - Justificativa da Viabilidade:</w:t>
      </w:r>
    </w:p>
    <w:p w14:paraId="0477BA9F">
      <w:pPr>
        <w:spacing w:before="120" w:after="120"/>
        <w:ind w:left="120" w:right="123" w:firstLine="96"/>
        <w:jc w:val="both"/>
        <w:rPr>
          <w:color w:val="000000"/>
          <w:sz w:val="24"/>
          <w:szCs w:val="24"/>
        </w:rPr>
      </w:pPr>
      <w:r>
        <w:rPr>
          <w:color w:val="000000"/>
          <w:sz w:val="24"/>
          <w:szCs w:val="24"/>
        </w:rPr>
        <w:t>16.1.1.1   - Pelo constatado nos Estudos Preliminares, a contratação é viável do ponto de vista técnico e econômico, e encontra-se dentro da previsão de despesas para o período previsto de contratação, em especial se considerada a economia gerada para a Administração Pública com a publicação de um único certame, visando atender as necessidades desta Secretaria, desde que sejam adotadas as premissas e conclusões descritas neste documento.</w:t>
      </w:r>
    </w:p>
    <w:p w14:paraId="003F296D">
      <w:pPr>
        <w:spacing w:before="241"/>
        <w:ind w:right="231"/>
        <w:rPr>
          <w:color w:val="000000"/>
          <w:sz w:val="24"/>
          <w:szCs w:val="24"/>
        </w:rPr>
      </w:pPr>
      <w:r>
        <w:rPr>
          <w:color w:val="000000"/>
          <w:sz w:val="24"/>
          <w:szCs w:val="24"/>
        </w:rPr>
        <w:t>Diante disto, aprovo o Estudo Técnico Preliminar, considerando a importância da contratação, em face das justificativas técnicas apresentadas.</w:t>
      </w:r>
    </w:p>
    <w:p w14:paraId="14D801CE">
      <w:pPr>
        <w:spacing w:before="288" w:beforeLines="120" w:after="288" w:afterLines="120" w:line="288" w:lineRule="auto"/>
        <w:contextualSpacing/>
        <w:rPr>
          <w:color w:val="000000"/>
          <w:sz w:val="27"/>
          <w:szCs w:val="27"/>
        </w:rPr>
      </w:pPr>
    </w:p>
    <w:p w14:paraId="45DDAAAC">
      <w:pPr>
        <w:spacing w:before="288" w:beforeLines="120" w:after="288" w:afterLines="120" w:line="288" w:lineRule="auto"/>
        <w:contextualSpacing/>
        <w:rPr>
          <w:color w:val="000000"/>
          <w:sz w:val="27"/>
          <w:szCs w:val="27"/>
        </w:rPr>
      </w:pPr>
    </w:p>
    <w:p w14:paraId="60CA2885">
      <w:pPr>
        <w:spacing w:before="288" w:beforeLines="120" w:after="288" w:afterLines="120" w:line="288" w:lineRule="auto"/>
        <w:contextualSpacing/>
        <w:rPr>
          <w:rFonts w:eastAsia="MS Mincho"/>
          <w:b/>
          <w:sz w:val="24"/>
          <w:szCs w:val="24"/>
        </w:rPr>
      </w:pPr>
    </w:p>
    <w:p w14:paraId="5E3A0CD3">
      <w:pPr>
        <w:spacing w:before="288" w:beforeLines="120" w:after="288" w:afterLines="120" w:line="288" w:lineRule="auto"/>
        <w:contextualSpacing/>
        <w:jc w:val="center"/>
        <w:rPr>
          <w:rFonts w:eastAsia="MS Mincho"/>
          <w:b/>
          <w:sz w:val="24"/>
          <w:szCs w:val="24"/>
        </w:rPr>
      </w:pPr>
    </w:p>
    <w:p w14:paraId="2532C1B2">
      <w:pPr>
        <w:spacing w:before="288" w:beforeLines="120" w:after="288" w:afterLines="120" w:line="288" w:lineRule="auto"/>
        <w:contextualSpacing/>
        <w:jc w:val="center"/>
        <w:rPr>
          <w:rFonts w:eastAsia="MS Mincho"/>
          <w:b/>
          <w:sz w:val="24"/>
          <w:szCs w:val="24"/>
          <w:u w:val="single"/>
        </w:rPr>
      </w:pPr>
      <w:r>
        <w:rPr>
          <w:rFonts w:eastAsia="MS Mincho"/>
          <w:b/>
          <w:sz w:val="24"/>
          <w:szCs w:val="24"/>
          <w:highlight w:val="yellow"/>
          <w:u w:val="single"/>
        </w:rPr>
        <w:t>ANEXO III – MODELO DE PROPOSTA</w:t>
      </w:r>
    </w:p>
    <w:p w14:paraId="273D83BC">
      <w:pPr>
        <w:spacing w:before="288" w:beforeLines="120" w:after="288" w:afterLines="120" w:line="288" w:lineRule="auto"/>
        <w:contextualSpacing/>
        <w:jc w:val="center"/>
        <w:rPr>
          <w:rFonts w:eastAsia="MS Mincho"/>
          <w:b/>
          <w:sz w:val="24"/>
          <w:szCs w:val="24"/>
        </w:rPr>
      </w:pPr>
    </w:p>
    <w:tbl>
      <w:tblPr>
        <w:tblStyle w:val="10"/>
        <w:tblW w:w="8895"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810"/>
        <w:gridCol w:w="1605"/>
        <w:gridCol w:w="1950"/>
        <w:gridCol w:w="585"/>
        <w:gridCol w:w="825"/>
        <w:gridCol w:w="615"/>
        <w:gridCol w:w="1245"/>
        <w:gridCol w:w="1260"/>
      </w:tblGrid>
      <w:tr w14:paraId="7CA3DE8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cantSplit/>
          <w:trHeight w:val="420" w:hRule="atLeast"/>
          <w:tblHeader/>
        </w:trPr>
        <w:tc>
          <w:tcPr>
            <w:tcW w:w="4365" w:type="dxa"/>
            <w:gridSpan w:val="3"/>
            <w:shd w:val="clear" w:color="auto" w:fill="CCCCCC"/>
            <w:tcMar>
              <w:top w:w="100" w:type="dxa"/>
              <w:left w:w="100" w:type="dxa"/>
              <w:bottom w:w="100" w:type="dxa"/>
              <w:right w:w="100" w:type="dxa"/>
            </w:tcMar>
          </w:tcPr>
          <w:p w14:paraId="7DF3945E">
            <w:pPr>
              <w:spacing w:before="288" w:beforeLines="120" w:after="288" w:afterLines="120" w:line="288" w:lineRule="auto"/>
              <w:contextualSpacing/>
              <w:jc w:val="center"/>
              <w:rPr>
                <w:rFonts w:eastAsia="MS Mincho"/>
                <w:b/>
                <w:sz w:val="24"/>
                <w:szCs w:val="24"/>
              </w:rPr>
            </w:pPr>
            <w:r>
              <w:rPr>
                <w:rFonts w:eastAsia="MS Mincho"/>
                <w:b/>
                <w:sz w:val="24"/>
                <w:szCs w:val="24"/>
              </w:rPr>
              <w:t>ANEXO III – MODELO DE PROPOSTA</w:t>
            </w:r>
          </w:p>
          <w:p w14:paraId="048FC886">
            <w:pPr>
              <w:pStyle w:val="77"/>
              <w:widowControl w:val="0"/>
              <w:rPr>
                <w:rFonts w:ascii="Times New Roman" w:hAnsi="Times New Roman" w:cs="Times New Roman"/>
                <w:b/>
                <w:i/>
                <w:iCs/>
                <w:sz w:val="24"/>
                <w:szCs w:val="24"/>
              </w:rPr>
            </w:pPr>
          </w:p>
          <w:p w14:paraId="1B0C5F39">
            <w:pPr>
              <w:pStyle w:val="77"/>
              <w:widowControl w:val="0"/>
              <w:rPr>
                <w:rFonts w:ascii="Times New Roman" w:hAnsi="Times New Roman" w:cs="Times New Roman"/>
                <w:b/>
                <w:i/>
                <w:iCs/>
                <w:sz w:val="24"/>
                <w:szCs w:val="24"/>
              </w:rPr>
            </w:pPr>
            <w:r>
              <w:rPr>
                <w:rFonts w:ascii="Times New Roman" w:hAnsi="Times New Roman" w:cs="Times New Roman"/>
                <w:b/>
                <w:i/>
                <w:iCs/>
                <w:sz w:val="24"/>
                <w:szCs w:val="24"/>
              </w:rPr>
              <w:t>PREFEITURA MUNICIPAL DE VALENÇA</w:t>
            </w:r>
          </w:p>
        </w:tc>
        <w:tc>
          <w:tcPr>
            <w:tcW w:w="2025" w:type="dxa"/>
            <w:gridSpan w:val="3"/>
            <w:shd w:val="clear" w:color="auto" w:fill="CCCCCC"/>
            <w:tcMar>
              <w:top w:w="100" w:type="dxa"/>
              <w:left w:w="100" w:type="dxa"/>
              <w:bottom w:w="100" w:type="dxa"/>
              <w:right w:w="100" w:type="dxa"/>
            </w:tcMar>
          </w:tcPr>
          <w:p w14:paraId="44ADDD6E">
            <w:pPr>
              <w:pStyle w:val="77"/>
              <w:widowControl w:val="0"/>
              <w:rPr>
                <w:rFonts w:ascii="Times New Roman" w:hAnsi="Times New Roman" w:cs="Times New Roman"/>
                <w:b/>
                <w:sz w:val="24"/>
                <w:szCs w:val="24"/>
              </w:rPr>
            </w:pPr>
            <w:r>
              <w:rPr>
                <w:rFonts w:ascii="Times New Roman" w:hAnsi="Times New Roman" w:cs="Times New Roman"/>
                <w:b/>
                <w:sz w:val="24"/>
                <w:szCs w:val="24"/>
              </w:rPr>
              <w:t>Pregão Eletrônico N° _____/____</w:t>
            </w:r>
          </w:p>
        </w:tc>
        <w:tc>
          <w:tcPr>
            <w:tcW w:w="2505" w:type="dxa"/>
            <w:gridSpan w:val="2"/>
            <w:shd w:val="clear" w:color="auto" w:fill="auto"/>
            <w:tcMar>
              <w:top w:w="100" w:type="dxa"/>
              <w:left w:w="100" w:type="dxa"/>
              <w:bottom w:w="100" w:type="dxa"/>
              <w:right w:w="100" w:type="dxa"/>
            </w:tcMar>
          </w:tcPr>
          <w:p w14:paraId="5D14A8FD">
            <w:pPr>
              <w:pStyle w:val="77"/>
              <w:widowControl w:val="0"/>
              <w:rPr>
                <w:rFonts w:ascii="Times New Roman" w:hAnsi="Times New Roman" w:cs="Times New Roman"/>
                <w:b/>
                <w:sz w:val="24"/>
                <w:szCs w:val="24"/>
              </w:rPr>
            </w:pPr>
            <w:r>
              <w:rPr>
                <w:rFonts w:ascii="Times New Roman" w:hAnsi="Times New Roman" w:cs="Times New Roman"/>
                <w:b/>
                <w:sz w:val="24"/>
                <w:szCs w:val="24"/>
              </w:rPr>
              <w:t>CNPJ:</w:t>
            </w:r>
          </w:p>
        </w:tc>
      </w:tr>
      <w:tr w14:paraId="67A3B91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cantSplit/>
          <w:trHeight w:val="420" w:hRule="atLeast"/>
          <w:tblHeader/>
        </w:trPr>
        <w:tc>
          <w:tcPr>
            <w:tcW w:w="4950" w:type="dxa"/>
            <w:gridSpan w:val="4"/>
            <w:shd w:val="clear" w:color="auto" w:fill="auto"/>
            <w:tcMar>
              <w:top w:w="100" w:type="dxa"/>
              <w:left w:w="100" w:type="dxa"/>
              <w:bottom w:w="100" w:type="dxa"/>
              <w:right w:w="100" w:type="dxa"/>
            </w:tcMar>
          </w:tcPr>
          <w:p w14:paraId="359DD5F6">
            <w:pPr>
              <w:pStyle w:val="77"/>
              <w:widowControl w:val="0"/>
              <w:rPr>
                <w:rFonts w:ascii="Times New Roman" w:hAnsi="Times New Roman" w:cs="Times New Roman"/>
                <w:b/>
                <w:i/>
                <w:iCs/>
                <w:sz w:val="24"/>
                <w:szCs w:val="24"/>
              </w:rPr>
            </w:pPr>
            <w:r>
              <w:rPr>
                <w:rFonts w:ascii="Times New Roman" w:hAnsi="Times New Roman" w:cs="Times New Roman"/>
                <w:b/>
                <w:i/>
                <w:iCs/>
                <w:sz w:val="24"/>
                <w:szCs w:val="24"/>
              </w:rPr>
              <w:t>Razão Social:</w:t>
            </w:r>
          </w:p>
        </w:tc>
        <w:tc>
          <w:tcPr>
            <w:tcW w:w="3945" w:type="dxa"/>
            <w:gridSpan w:val="4"/>
            <w:shd w:val="clear" w:color="auto" w:fill="auto"/>
            <w:tcMar>
              <w:top w:w="100" w:type="dxa"/>
              <w:left w:w="100" w:type="dxa"/>
              <w:bottom w:w="100" w:type="dxa"/>
              <w:right w:w="100" w:type="dxa"/>
            </w:tcMar>
          </w:tcPr>
          <w:p w14:paraId="03261942">
            <w:pPr>
              <w:pStyle w:val="77"/>
              <w:widowControl w:val="0"/>
              <w:rPr>
                <w:rFonts w:ascii="Times New Roman" w:hAnsi="Times New Roman" w:cs="Times New Roman"/>
                <w:b/>
                <w:sz w:val="24"/>
                <w:szCs w:val="24"/>
              </w:rPr>
            </w:pPr>
            <w:r>
              <w:rPr>
                <w:rFonts w:ascii="Times New Roman" w:hAnsi="Times New Roman" w:cs="Times New Roman"/>
                <w:b/>
                <w:sz w:val="24"/>
                <w:szCs w:val="24"/>
              </w:rPr>
              <w:t>E-mail:</w:t>
            </w:r>
          </w:p>
        </w:tc>
      </w:tr>
      <w:tr w14:paraId="7F89A46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cantSplit/>
          <w:trHeight w:val="420" w:hRule="atLeast"/>
          <w:tblHeader/>
        </w:trPr>
        <w:tc>
          <w:tcPr>
            <w:tcW w:w="5775" w:type="dxa"/>
            <w:gridSpan w:val="5"/>
            <w:shd w:val="clear" w:color="auto" w:fill="auto"/>
            <w:tcMar>
              <w:top w:w="100" w:type="dxa"/>
              <w:left w:w="100" w:type="dxa"/>
              <w:bottom w:w="100" w:type="dxa"/>
              <w:right w:w="100" w:type="dxa"/>
            </w:tcMar>
          </w:tcPr>
          <w:p w14:paraId="0F0179F6">
            <w:pPr>
              <w:pStyle w:val="77"/>
              <w:widowControl w:val="0"/>
              <w:rPr>
                <w:rFonts w:ascii="Times New Roman" w:hAnsi="Times New Roman" w:cs="Times New Roman"/>
                <w:b/>
                <w:i/>
                <w:iCs/>
                <w:sz w:val="24"/>
                <w:szCs w:val="24"/>
              </w:rPr>
            </w:pPr>
            <w:r>
              <w:rPr>
                <w:rFonts w:ascii="Times New Roman" w:hAnsi="Times New Roman" w:cs="Times New Roman"/>
                <w:b/>
                <w:i/>
                <w:iCs/>
                <w:sz w:val="24"/>
                <w:szCs w:val="24"/>
              </w:rPr>
              <w:t>Endereço:</w:t>
            </w:r>
          </w:p>
        </w:tc>
        <w:tc>
          <w:tcPr>
            <w:tcW w:w="3120" w:type="dxa"/>
            <w:gridSpan w:val="3"/>
            <w:shd w:val="clear" w:color="auto" w:fill="auto"/>
            <w:tcMar>
              <w:top w:w="100" w:type="dxa"/>
              <w:left w:w="100" w:type="dxa"/>
              <w:bottom w:w="100" w:type="dxa"/>
              <w:right w:w="100" w:type="dxa"/>
            </w:tcMar>
          </w:tcPr>
          <w:p w14:paraId="46B0967A">
            <w:pPr>
              <w:pStyle w:val="77"/>
              <w:widowControl w:val="0"/>
              <w:rPr>
                <w:rFonts w:ascii="Times New Roman" w:hAnsi="Times New Roman" w:cs="Times New Roman"/>
                <w:b/>
                <w:sz w:val="24"/>
                <w:szCs w:val="24"/>
              </w:rPr>
            </w:pPr>
            <w:r>
              <w:rPr>
                <w:rFonts w:ascii="Times New Roman" w:hAnsi="Times New Roman" w:cs="Times New Roman"/>
                <w:b/>
                <w:sz w:val="24"/>
                <w:szCs w:val="24"/>
              </w:rPr>
              <w:t>Tel.:</w:t>
            </w:r>
          </w:p>
        </w:tc>
      </w:tr>
      <w:tr w14:paraId="78D6ED3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cantSplit/>
          <w:trHeight w:val="420" w:hRule="atLeast"/>
          <w:tblHeader/>
        </w:trPr>
        <w:tc>
          <w:tcPr>
            <w:tcW w:w="4365" w:type="dxa"/>
            <w:gridSpan w:val="3"/>
            <w:shd w:val="clear" w:color="auto" w:fill="auto"/>
            <w:tcMar>
              <w:top w:w="100" w:type="dxa"/>
              <w:left w:w="100" w:type="dxa"/>
              <w:bottom w:w="100" w:type="dxa"/>
              <w:right w:w="100" w:type="dxa"/>
            </w:tcMar>
          </w:tcPr>
          <w:p w14:paraId="5E75EF31">
            <w:pPr>
              <w:pStyle w:val="77"/>
              <w:widowControl w:val="0"/>
              <w:rPr>
                <w:rFonts w:ascii="Times New Roman" w:hAnsi="Times New Roman" w:cs="Times New Roman"/>
                <w:b/>
                <w:i/>
                <w:iCs/>
                <w:sz w:val="24"/>
                <w:szCs w:val="24"/>
              </w:rPr>
            </w:pPr>
            <w:r>
              <w:rPr>
                <w:rFonts w:ascii="Times New Roman" w:hAnsi="Times New Roman" w:cs="Times New Roman"/>
                <w:b/>
                <w:i/>
                <w:iCs/>
                <w:sz w:val="24"/>
                <w:szCs w:val="24"/>
              </w:rPr>
              <w:t>Banco:</w:t>
            </w:r>
          </w:p>
        </w:tc>
        <w:tc>
          <w:tcPr>
            <w:tcW w:w="1410" w:type="dxa"/>
            <w:gridSpan w:val="2"/>
            <w:shd w:val="clear" w:color="auto" w:fill="auto"/>
            <w:tcMar>
              <w:top w:w="100" w:type="dxa"/>
              <w:left w:w="100" w:type="dxa"/>
              <w:bottom w:w="100" w:type="dxa"/>
              <w:right w:w="100" w:type="dxa"/>
            </w:tcMar>
          </w:tcPr>
          <w:p w14:paraId="6D6625E8">
            <w:pPr>
              <w:pStyle w:val="77"/>
              <w:widowControl w:val="0"/>
              <w:rPr>
                <w:rFonts w:ascii="Times New Roman" w:hAnsi="Times New Roman" w:cs="Times New Roman"/>
                <w:b/>
                <w:sz w:val="24"/>
                <w:szCs w:val="24"/>
              </w:rPr>
            </w:pPr>
            <w:r>
              <w:rPr>
                <w:rFonts w:ascii="Times New Roman" w:hAnsi="Times New Roman" w:cs="Times New Roman"/>
                <w:b/>
                <w:sz w:val="24"/>
                <w:szCs w:val="24"/>
              </w:rPr>
              <w:t>Agência:</w:t>
            </w:r>
          </w:p>
        </w:tc>
        <w:tc>
          <w:tcPr>
            <w:tcW w:w="3120" w:type="dxa"/>
            <w:gridSpan w:val="3"/>
            <w:shd w:val="clear" w:color="auto" w:fill="auto"/>
            <w:tcMar>
              <w:top w:w="100" w:type="dxa"/>
              <w:left w:w="100" w:type="dxa"/>
              <w:bottom w:w="100" w:type="dxa"/>
              <w:right w:w="100" w:type="dxa"/>
            </w:tcMar>
          </w:tcPr>
          <w:p w14:paraId="02C91FD5">
            <w:pPr>
              <w:pStyle w:val="77"/>
              <w:widowControl w:val="0"/>
              <w:rPr>
                <w:rFonts w:ascii="Times New Roman" w:hAnsi="Times New Roman" w:cs="Times New Roman"/>
                <w:b/>
                <w:sz w:val="24"/>
                <w:szCs w:val="24"/>
              </w:rPr>
            </w:pPr>
            <w:r>
              <w:rPr>
                <w:rFonts w:ascii="Times New Roman" w:hAnsi="Times New Roman" w:cs="Times New Roman"/>
                <w:b/>
                <w:sz w:val="24"/>
                <w:szCs w:val="24"/>
              </w:rPr>
              <w:t>Conta Corrente:</w:t>
            </w:r>
          </w:p>
        </w:tc>
      </w:tr>
      <w:tr w14:paraId="591ECE1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cantSplit/>
          <w:tblHeader/>
        </w:trPr>
        <w:tc>
          <w:tcPr>
            <w:tcW w:w="810" w:type="dxa"/>
            <w:shd w:val="clear" w:color="auto" w:fill="CCCCCC"/>
            <w:tcMar>
              <w:top w:w="100" w:type="dxa"/>
              <w:left w:w="100" w:type="dxa"/>
              <w:bottom w:w="100" w:type="dxa"/>
              <w:right w:w="100" w:type="dxa"/>
            </w:tcMar>
          </w:tcPr>
          <w:p w14:paraId="68584C93">
            <w:pPr>
              <w:pStyle w:val="77"/>
              <w:widowControl w:val="0"/>
              <w:jc w:val="center"/>
              <w:rPr>
                <w:rFonts w:ascii="Times New Roman" w:hAnsi="Times New Roman" w:cs="Times New Roman"/>
                <w:b/>
                <w:i/>
                <w:iCs/>
                <w:sz w:val="24"/>
                <w:szCs w:val="24"/>
              </w:rPr>
            </w:pPr>
            <w:r>
              <w:rPr>
                <w:rFonts w:ascii="Times New Roman" w:hAnsi="Times New Roman" w:cs="Times New Roman"/>
                <w:b/>
                <w:i/>
                <w:iCs/>
                <w:sz w:val="24"/>
                <w:szCs w:val="24"/>
              </w:rPr>
              <w:t>LOTE/</w:t>
            </w:r>
          </w:p>
          <w:p w14:paraId="1E7E8749">
            <w:pPr>
              <w:pStyle w:val="77"/>
              <w:widowControl w:val="0"/>
              <w:jc w:val="center"/>
              <w:rPr>
                <w:rFonts w:ascii="Times New Roman" w:hAnsi="Times New Roman" w:cs="Times New Roman"/>
                <w:b/>
                <w:i/>
                <w:iCs/>
                <w:sz w:val="24"/>
                <w:szCs w:val="24"/>
              </w:rPr>
            </w:pPr>
            <w:r>
              <w:rPr>
                <w:rFonts w:ascii="Times New Roman" w:hAnsi="Times New Roman" w:cs="Times New Roman"/>
                <w:b/>
                <w:i/>
                <w:iCs/>
                <w:sz w:val="24"/>
                <w:szCs w:val="24"/>
              </w:rPr>
              <w:t>ITEM</w:t>
            </w:r>
          </w:p>
        </w:tc>
        <w:tc>
          <w:tcPr>
            <w:tcW w:w="1605" w:type="dxa"/>
            <w:shd w:val="clear" w:color="auto" w:fill="CCCCCC"/>
            <w:tcMar>
              <w:top w:w="100" w:type="dxa"/>
              <w:left w:w="100" w:type="dxa"/>
              <w:bottom w:w="100" w:type="dxa"/>
              <w:right w:w="100" w:type="dxa"/>
            </w:tcMar>
          </w:tcPr>
          <w:p w14:paraId="7718B3DD">
            <w:pPr>
              <w:pStyle w:val="77"/>
              <w:widowControl w:val="0"/>
              <w:jc w:val="center"/>
              <w:rPr>
                <w:rFonts w:ascii="Times New Roman" w:hAnsi="Times New Roman" w:cs="Times New Roman"/>
                <w:b/>
                <w:i/>
                <w:iCs/>
                <w:sz w:val="24"/>
                <w:szCs w:val="24"/>
              </w:rPr>
            </w:pPr>
            <w:r>
              <w:rPr>
                <w:rFonts w:ascii="Times New Roman" w:hAnsi="Times New Roman" w:cs="Times New Roman"/>
                <w:b/>
                <w:i/>
                <w:iCs/>
                <w:sz w:val="24"/>
                <w:szCs w:val="24"/>
              </w:rPr>
              <w:t>Código de Material / Código BR</w:t>
            </w:r>
          </w:p>
        </w:tc>
        <w:tc>
          <w:tcPr>
            <w:tcW w:w="1950" w:type="dxa"/>
            <w:shd w:val="clear" w:color="auto" w:fill="CCCCCC"/>
            <w:tcMar>
              <w:top w:w="100" w:type="dxa"/>
              <w:left w:w="100" w:type="dxa"/>
              <w:bottom w:w="100" w:type="dxa"/>
              <w:right w:w="100" w:type="dxa"/>
            </w:tcMar>
          </w:tcPr>
          <w:p w14:paraId="09B915E8">
            <w:pPr>
              <w:pStyle w:val="77"/>
              <w:widowControl w:val="0"/>
              <w:jc w:val="center"/>
              <w:rPr>
                <w:rFonts w:ascii="Times New Roman" w:hAnsi="Times New Roman" w:cs="Times New Roman"/>
                <w:b/>
                <w:i/>
                <w:iCs/>
                <w:sz w:val="24"/>
                <w:szCs w:val="24"/>
              </w:rPr>
            </w:pPr>
            <w:r>
              <w:rPr>
                <w:rFonts w:ascii="Times New Roman" w:hAnsi="Times New Roman" w:cs="Times New Roman"/>
                <w:b/>
                <w:i/>
                <w:iCs/>
                <w:sz w:val="24"/>
                <w:szCs w:val="24"/>
              </w:rPr>
              <w:t>Nome Padronizado</w:t>
            </w:r>
          </w:p>
        </w:tc>
        <w:tc>
          <w:tcPr>
            <w:tcW w:w="585" w:type="dxa"/>
            <w:shd w:val="clear" w:color="auto" w:fill="CCCCCC"/>
            <w:tcMar>
              <w:top w:w="100" w:type="dxa"/>
              <w:left w:w="100" w:type="dxa"/>
              <w:bottom w:w="100" w:type="dxa"/>
              <w:right w:w="100" w:type="dxa"/>
            </w:tcMar>
          </w:tcPr>
          <w:p w14:paraId="1C8A190F">
            <w:pPr>
              <w:pStyle w:val="77"/>
              <w:widowControl w:val="0"/>
              <w:jc w:val="center"/>
              <w:rPr>
                <w:rFonts w:ascii="Times New Roman" w:hAnsi="Times New Roman" w:cs="Times New Roman"/>
                <w:b/>
                <w:sz w:val="24"/>
                <w:szCs w:val="24"/>
              </w:rPr>
            </w:pPr>
            <w:r>
              <w:rPr>
                <w:rFonts w:ascii="Times New Roman" w:hAnsi="Times New Roman" w:cs="Times New Roman"/>
                <w:b/>
                <w:sz w:val="24"/>
                <w:szCs w:val="24"/>
              </w:rPr>
              <w:t>U/C</w:t>
            </w:r>
          </w:p>
        </w:tc>
        <w:tc>
          <w:tcPr>
            <w:tcW w:w="825" w:type="dxa"/>
            <w:shd w:val="clear" w:color="auto" w:fill="CCCCCC"/>
            <w:tcMar>
              <w:top w:w="100" w:type="dxa"/>
              <w:left w:w="100" w:type="dxa"/>
              <w:bottom w:w="100" w:type="dxa"/>
              <w:right w:w="100" w:type="dxa"/>
            </w:tcMar>
          </w:tcPr>
          <w:p w14:paraId="78F01BA1">
            <w:pPr>
              <w:pStyle w:val="77"/>
              <w:widowControl w:val="0"/>
              <w:jc w:val="center"/>
              <w:rPr>
                <w:rFonts w:ascii="Times New Roman" w:hAnsi="Times New Roman" w:cs="Times New Roman"/>
                <w:b/>
                <w:sz w:val="24"/>
                <w:szCs w:val="24"/>
              </w:rPr>
            </w:pPr>
            <w:r>
              <w:rPr>
                <w:rFonts w:ascii="Times New Roman" w:hAnsi="Times New Roman" w:cs="Times New Roman"/>
                <w:b/>
                <w:sz w:val="24"/>
                <w:szCs w:val="24"/>
              </w:rPr>
              <w:t>Marca</w:t>
            </w:r>
          </w:p>
        </w:tc>
        <w:tc>
          <w:tcPr>
            <w:tcW w:w="615" w:type="dxa"/>
            <w:shd w:val="clear" w:color="auto" w:fill="CCCCCC"/>
            <w:tcMar>
              <w:top w:w="100" w:type="dxa"/>
              <w:left w:w="100" w:type="dxa"/>
              <w:bottom w:w="100" w:type="dxa"/>
              <w:right w:w="100" w:type="dxa"/>
            </w:tcMar>
          </w:tcPr>
          <w:p w14:paraId="2E60DEC2">
            <w:pPr>
              <w:pStyle w:val="77"/>
              <w:widowControl w:val="0"/>
              <w:jc w:val="center"/>
              <w:rPr>
                <w:rFonts w:ascii="Times New Roman" w:hAnsi="Times New Roman" w:cs="Times New Roman"/>
                <w:b/>
                <w:sz w:val="24"/>
                <w:szCs w:val="24"/>
              </w:rPr>
            </w:pPr>
            <w:r>
              <w:rPr>
                <w:rFonts w:ascii="Times New Roman" w:hAnsi="Times New Roman" w:cs="Times New Roman"/>
                <w:b/>
                <w:sz w:val="24"/>
                <w:szCs w:val="24"/>
              </w:rPr>
              <w:t>Qtd</w:t>
            </w:r>
          </w:p>
        </w:tc>
        <w:tc>
          <w:tcPr>
            <w:tcW w:w="1245" w:type="dxa"/>
            <w:shd w:val="clear" w:color="auto" w:fill="CCCCCC"/>
            <w:tcMar>
              <w:top w:w="100" w:type="dxa"/>
              <w:left w:w="100" w:type="dxa"/>
              <w:bottom w:w="100" w:type="dxa"/>
              <w:right w:w="100" w:type="dxa"/>
            </w:tcMar>
          </w:tcPr>
          <w:p w14:paraId="554E8846">
            <w:pPr>
              <w:pStyle w:val="77"/>
              <w:widowControl w:val="0"/>
              <w:jc w:val="center"/>
              <w:rPr>
                <w:rFonts w:ascii="Times New Roman" w:hAnsi="Times New Roman" w:cs="Times New Roman"/>
                <w:b/>
                <w:sz w:val="24"/>
                <w:szCs w:val="24"/>
              </w:rPr>
            </w:pPr>
            <w:r>
              <w:rPr>
                <w:rFonts w:ascii="Times New Roman" w:hAnsi="Times New Roman" w:cs="Times New Roman"/>
                <w:b/>
                <w:sz w:val="24"/>
                <w:szCs w:val="24"/>
              </w:rPr>
              <w:t>Preço Unitário</w:t>
            </w:r>
          </w:p>
        </w:tc>
        <w:tc>
          <w:tcPr>
            <w:tcW w:w="1260" w:type="dxa"/>
            <w:shd w:val="clear" w:color="auto" w:fill="CCCCCC"/>
            <w:tcMar>
              <w:top w:w="100" w:type="dxa"/>
              <w:left w:w="100" w:type="dxa"/>
              <w:bottom w:w="100" w:type="dxa"/>
              <w:right w:w="100" w:type="dxa"/>
            </w:tcMar>
          </w:tcPr>
          <w:p w14:paraId="40CED06D">
            <w:pPr>
              <w:pStyle w:val="77"/>
              <w:widowControl w:val="0"/>
              <w:jc w:val="center"/>
              <w:rPr>
                <w:rFonts w:ascii="Times New Roman" w:hAnsi="Times New Roman" w:cs="Times New Roman"/>
                <w:b/>
                <w:sz w:val="24"/>
                <w:szCs w:val="24"/>
              </w:rPr>
            </w:pPr>
            <w:r>
              <w:rPr>
                <w:rFonts w:ascii="Times New Roman" w:hAnsi="Times New Roman" w:cs="Times New Roman"/>
                <w:b/>
                <w:sz w:val="24"/>
                <w:szCs w:val="24"/>
              </w:rPr>
              <w:t>Preço Total</w:t>
            </w:r>
          </w:p>
        </w:tc>
      </w:tr>
      <w:tr w14:paraId="1AC3E5D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cantSplit/>
          <w:tblHeader/>
        </w:trPr>
        <w:tc>
          <w:tcPr>
            <w:tcW w:w="810" w:type="dxa"/>
            <w:shd w:val="clear" w:color="auto" w:fill="auto"/>
            <w:tcMar>
              <w:top w:w="100" w:type="dxa"/>
              <w:left w:w="100" w:type="dxa"/>
              <w:bottom w:w="100" w:type="dxa"/>
              <w:right w:w="100" w:type="dxa"/>
            </w:tcMar>
          </w:tcPr>
          <w:p w14:paraId="0DD66404">
            <w:pPr>
              <w:pStyle w:val="77"/>
              <w:widowControl w:val="0"/>
              <w:rPr>
                <w:rFonts w:ascii="Times New Roman" w:hAnsi="Times New Roman" w:cs="Times New Roman"/>
                <w:b/>
                <w:i/>
                <w:iCs/>
                <w:sz w:val="24"/>
                <w:szCs w:val="24"/>
              </w:rPr>
            </w:pPr>
          </w:p>
        </w:tc>
        <w:tc>
          <w:tcPr>
            <w:tcW w:w="1605" w:type="dxa"/>
            <w:shd w:val="clear" w:color="auto" w:fill="auto"/>
            <w:tcMar>
              <w:top w:w="100" w:type="dxa"/>
              <w:left w:w="100" w:type="dxa"/>
              <w:bottom w:w="100" w:type="dxa"/>
              <w:right w:w="100" w:type="dxa"/>
            </w:tcMar>
          </w:tcPr>
          <w:p w14:paraId="74C79E61">
            <w:pPr>
              <w:pStyle w:val="77"/>
              <w:widowControl w:val="0"/>
              <w:rPr>
                <w:rFonts w:ascii="Times New Roman" w:hAnsi="Times New Roman" w:cs="Times New Roman"/>
                <w:b/>
                <w:i/>
                <w:iCs/>
                <w:sz w:val="24"/>
                <w:szCs w:val="24"/>
              </w:rPr>
            </w:pPr>
          </w:p>
        </w:tc>
        <w:tc>
          <w:tcPr>
            <w:tcW w:w="1950" w:type="dxa"/>
            <w:shd w:val="clear" w:color="auto" w:fill="auto"/>
            <w:tcMar>
              <w:top w:w="100" w:type="dxa"/>
              <w:left w:w="100" w:type="dxa"/>
              <w:bottom w:w="100" w:type="dxa"/>
              <w:right w:w="100" w:type="dxa"/>
            </w:tcMar>
          </w:tcPr>
          <w:p w14:paraId="2913E088">
            <w:pPr>
              <w:pStyle w:val="77"/>
              <w:widowControl w:val="0"/>
              <w:rPr>
                <w:rFonts w:ascii="Times New Roman" w:hAnsi="Times New Roman" w:cs="Times New Roman"/>
                <w:b/>
                <w:i/>
                <w:iCs/>
                <w:sz w:val="24"/>
                <w:szCs w:val="24"/>
              </w:rPr>
            </w:pPr>
            <w:r>
              <w:rPr>
                <w:rFonts w:ascii="Times New Roman" w:hAnsi="Times New Roman" w:cs="Times New Roman"/>
                <w:b/>
                <w:i/>
                <w:iCs/>
                <w:sz w:val="24"/>
                <w:szCs w:val="24"/>
              </w:rPr>
              <w:t>Preço Unitário: Por extenso</w:t>
            </w:r>
          </w:p>
        </w:tc>
        <w:tc>
          <w:tcPr>
            <w:tcW w:w="585" w:type="dxa"/>
            <w:shd w:val="clear" w:color="auto" w:fill="auto"/>
            <w:tcMar>
              <w:top w:w="100" w:type="dxa"/>
              <w:left w:w="100" w:type="dxa"/>
              <w:bottom w:w="100" w:type="dxa"/>
              <w:right w:w="100" w:type="dxa"/>
            </w:tcMar>
          </w:tcPr>
          <w:p w14:paraId="7A998D75">
            <w:pPr>
              <w:pStyle w:val="77"/>
              <w:widowControl w:val="0"/>
              <w:rPr>
                <w:rFonts w:ascii="Times New Roman" w:hAnsi="Times New Roman" w:cs="Times New Roman"/>
                <w:b/>
                <w:sz w:val="24"/>
                <w:szCs w:val="24"/>
              </w:rPr>
            </w:pPr>
          </w:p>
        </w:tc>
        <w:tc>
          <w:tcPr>
            <w:tcW w:w="825" w:type="dxa"/>
            <w:shd w:val="clear" w:color="auto" w:fill="auto"/>
            <w:tcMar>
              <w:top w:w="100" w:type="dxa"/>
              <w:left w:w="100" w:type="dxa"/>
              <w:bottom w:w="100" w:type="dxa"/>
              <w:right w:w="100" w:type="dxa"/>
            </w:tcMar>
          </w:tcPr>
          <w:p w14:paraId="6FD4A95A">
            <w:pPr>
              <w:pStyle w:val="77"/>
              <w:widowControl w:val="0"/>
              <w:rPr>
                <w:rFonts w:ascii="Times New Roman" w:hAnsi="Times New Roman" w:cs="Times New Roman"/>
                <w:b/>
                <w:sz w:val="24"/>
                <w:szCs w:val="24"/>
              </w:rPr>
            </w:pPr>
          </w:p>
        </w:tc>
        <w:tc>
          <w:tcPr>
            <w:tcW w:w="615" w:type="dxa"/>
            <w:shd w:val="clear" w:color="auto" w:fill="auto"/>
            <w:tcMar>
              <w:top w:w="100" w:type="dxa"/>
              <w:left w:w="100" w:type="dxa"/>
              <w:bottom w:w="100" w:type="dxa"/>
              <w:right w:w="100" w:type="dxa"/>
            </w:tcMar>
          </w:tcPr>
          <w:p w14:paraId="4C71D89B">
            <w:pPr>
              <w:pStyle w:val="77"/>
              <w:widowControl w:val="0"/>
              <w:rPr>
                <w:rFonts w:ascii="Times New Roman" w:hAnsi="Times New Roman" w:cs="Times New Roman"/>
                <w:b/>
                <w:sz w:val="24"/>
                <w:szCs w:val="24"/>
              </w:rPr>
            </w:pPr>
          </w:p>
        </w:tc>
        <w:tc>
          <w:tcPr>
            <w:tcW w:w="1245" w:type="dxa"/>
            <w:shd w:val="clear" w:color="auto" w:fill="auto"/>
            <w:tcMar>
              <w:top w:w="100" w:type="dxa"/>
              <w:left w:w="100" w:type="dxa"/>
              <w:bottom w:w="100" w:type="dxa"/>
              <w:right w:w="100" w:type="dxa"/>
            </w:tcMar>
          </w:tcPr>
          <w:p w14:paraId="468F9656">
            <w:pPr>
              <w:pStyle w:val="77"/>
              <w:widowControl w:val="0"/>
              <w:rPr>
                <w:rFonts w:ascii="Times New Roman" w:hAnsi="Times New Roman" w:cs="Times New Roman"/>
                <w:b/>
                <w:sz w:val="24"/>
                <w:szCs w:val="24"/>
              </w:rPr>
            </w:pPr>
          </w:p>
        </w:tc>
        <w:tc>
          <w:tcPr>
            <w:tcW w:w="1260" w:type="dxa"/>
            <w:shd w:val="clear" w:color="auto" w:fill="auto"/>
            <w:tcMar>
              <w:top w:w="100" w:type="dxa"/>
              <w:left w:w="100" w:type="dxa"/>
              <w:bottom w:w="100" w:type="dxa"/>
              <w:right w:w="100" w:type="dxa"/>
            </w:tcMar>
          </w:tcPr>
          <w:p w14:paraId="0D874DE4">
            <w:pPr>
              <w:pStyle w:val="77"/>
              <w:widowControl w:val="0"/>
              <w:rPr>
                <w:rFonts w:ascii="Times New Roman" w:hAnsi="Times New Roman" w:cs="Times New Roman"/>
                <w:b/>
                <w:sz w:val="24"/>
                <w:szCs w:val="24"/>
              </w:rPr>
            </w:pPr>
          </w:p>
        </w:tc>
      </w:tr>
      <w:tr w14:paraId="53A0918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cantSplit/>
          <w:tblHeader/>
        </w:trPr>
        <w:tc>
          <w:tcPr>
            <w:tcW w:w="810" w:type="dxa"/>
            <w:shd w:val="clear" w:color="auto" w:fill="auto"/>
            <w:tcMar>
              <w:top w:w="100" w:type="dxa"/>
              <w:left w:w="100" w:type="dxa"/>
              <w:bottom w:w="100" w:type="dxa"/>
              <w:right w:w="100" w:type="dxa"/>
            </w:tcMar>
          </w:tcPr>
          <w:p w14:paraId="685543EB">
            <w:pPr>
              <w:pStyle w:val="77"/>
              <w:widowControl w:val="0"/>
              <w:rPr>
                <w:rFonts w:ascii="Times New Roman" w:hAnsi="Times New Roman" w:cs="Times New Roman"/>
                <w:b/>
                <w:i/>
                <w:iCs/>
                <w:sz w:val="24"/>
                <w:szCs w:val="24"/>
              </w:rPr>
            </w:pPr>
          </w:p>
        </w:tc>
        <w:tc>
          <w:tcPr>
            <w:tcW w:w="1605" w:type="dxa"/>
            <w:shd w:val="clear" w:color="auto" w:fill="auto"/>
            <w:tcMar>
              <w:top w:w="100" w:type="dxa"/>
              <w:left w:w="100" w:type="dxa"/>
              <w:bottom w:w="100" w:type="dxa"/>
              <w:right w:w="100" w:type="dxa"/>
            </w:tcMar>
          </w:tcPr>
          <w:p w14:paraId="2A1B6DE8">
            <w:pPr>
              <w:pStyle w:val="77"/>
              <w:widowControl w:val="0"/>
              <w:rPr>
                <w:rFonts w:ascii="Times New Roman" w:hAnsi="Times New Roman" w:cs="Times New Roman"/>
                <w:b/>
                <w:i/>
                <w:iCs/>
                <w:sz w:val="24"/>
                <w:szCs w:val="24"/>
              </w:rPr>
            </w:pPr>
          </w:p>
        </w:tc>
        <w:tc>
          <w:tcPr>
            <w:tcW w:w="1950" w:type="dxa"/>
            <w:shd w:val="clear" w:color="auto" w:fill="auto"/>
            <w:tcMar>
              <w:top w:w="100" w:type="dxa"/>
              <w:left w:w="100" w:type="dxa"/>
              <w:bottom w:w="100" w:type="dxa"/>
              <w:right w:w="100" w:type="dxa"/>
            </w:tcMar>
          </w:tcPr>
          <w:p w14:paraId="79542775">
            <w:pPr>
              <w:pStyle w:val="77"/>
              <w:widowControl w:val="0"/>
              <w:rPr>
                <w:rFonts w:ascii="Times New Roman" w:hAnsi="Times New Roman" w:cs="Times New Roman"/>
                <w:b/>
                <w:i/>
                <w:iCs/>
                <w:sz w:val="24"/>
                <w:szCs w:val="24"/>
              </w:rPr>
            </w:pPr>
            <w:r>
              <w:rPr>
                <w:rFonts w:ascii="Times New Roman" w:hAnsi="Times New Roman" w:cs="Times New Roman"/>
                <w:b/>
                <w:i/>
                <w:iCs/>
                <w:sz w:val="24"/>
                <w:szCs w:val="24"/>
              </w:rPr>
              <w:t>Preço Unitário: Por extenso</w:t>
            </w:r>
          </w:p>
        </w:tc>
        <w:tc>
          <w:tcPr>
            <w:tcW w:w="585" w:type="dxa"/>
            <w:shd w:val="clear" w:color="auto" w:fill="auto"/>
            <w:tcMar>
              <w:top w:w="100" w:type="dxa"/>
              <w:left w:w="100" w:type="dxa"/>
              <w:bottom w:w="100" w:type="dxa"/>
              <w:right w:w="100" w:type="dxa"/>
            </w:tcMar>
          </w:tcPr>
          <w:p w14:paraId="2C7AACF7">
            <w:pPr>
              <w:pStyle w:val="77"/>
              <w:widowControl w:val="0"/>
              <w:rPr>
                <w:rFonts w:ascii="Times New Roman" w:hAnsi="Times New Roman" w:cs="Times New Roman"/>
                <w:b/>
                <w:sz w:val="24"/>
                <w:szCs w:val="24"/>
              </w:rPr>
            </w:pPr>
          </w:p>
        </w:tc>
        <w:tc>
          <w:tcPr>
            <w:tcW w:w="825" w:type="dxa"/>
            <w:shd w:val="clear" w:color="auto" w:fill="auto"/>
            <w:tcMar>
              <w:top w:w="100" w:type="dxa"/>
              <w:left w:w="100" w:type="dxa"/>
              <w:bottom w:w="100" w:type="dxa"/>
              <w:right w:w="100" w:type="dxa"/>
            </w:tcMar>
          </w:tcPr>
          <w:p w14:paraId="794A4423">
            <w:pPr>
              <w:pStyle w:val="77"/>
              <w:widowControl w:val="0"/>
              <w:rPr>
                <w:rFonts w:ascii="Times New Roman" w:hAnsi="Times New Roman" w:cs="Times New Roman"/>
                <w:b/>
                <w:sz w:val="24"/>
                <w:szCs w:val="24"/>
              </w:rPr>
            </w:pPr>
          </w:p>
        </w:tc>
        <w:tc>
          <w:tcPr>
            <w:tcW w:w="615" w:type="dxa"/>
            <w:shd w:val="clear" w:color="auto" w:fill="auto"/>
            <w:tcMar>
              <w:top w:w="100" w:type="dxa"/>
              <w:left w:w="100" w:type="dxa"/>
              <w:bottom w:w="100" w:type="dxa"/>
              <w:right w:w="100" w:type="dxa"/>
            </w:tcMar>
          </w:tcPr>
          <w:p w14:paraId="3124ECB3">
            <w:pPr>
              <w:pStyle w:val="77"/>
              <w:widowControl w:val="0"/>
              <w:rPr>
                <w:rFonts w:ascii="Times New Roman" w:hAnsi="Times New Roman" w:cs="Times New Roman"/>
                <w:b/>
                <w:sz w:val="24"/>
                <w:szCs w:val="24"/>
              </w:rPr>
            </w:pPr>
          </w:p>
        </w:tc>
        <w:tc>
          <w:tcPr>
            <w:tcW w:w="1245" w:type="dxa"/>
            <w:shd w:val="clear" w:color="auto" w:fill="auto"/>
            <w:tcMar>
              <w:top w:w="100" w:type="dxa"/>
              <w:left w:w="100" w:type="dxa"/>
              <w:bottom w:w="100" w:type="dxa"/>
              <w:right w:w="100" w:type="dxa"/>
            </w:tcMar>
          </w:tcPr>
          <w:p w14:paraId="70995DC6">
            <w:pPr>
              <w:pStyle w:val="77"/>
              <w:widowControl w:val="0"/>
              <w:rPr>
                <w:rFonts w:ascii="Times New Roman" w:hAnsi="Times New Roman" w:cs="Times New Roman"/>
                <w:b/>
                <w:sz w:val="24"/>
                <w:szCs w:val="24"/>
              </w:rPr>
            </w:pPr>
          </w:p>
        </w:tc>
        <w:tc>
          <w:tcPr>
            <w:tcW w:w="1260" w:type="dxa"/>
            <w:shd w:val="clear" w:color="auto" w:fill="auto"/>
            <w:tcMar>
              <w:top w:w="100" w:type="dxa"/>
              <w:left w:w="100" w:type="dxa"/>
              <w:bottom w:w="100" w:type="dxa"/>
              <w:right w:w="100" w:type="dxa"/>
            </w:tcMar>
          </w:tcPr>
          <w:p w14:paraId="46AF7176">
            <w:pPr>
              <w:pStyle w:val="77"/>
              <w:widowControl w:val="0"/>
              <w:rPr>
                <w:rFonts w:ascii="Times New Roman" w:hAnsi="Times New Roman" w:cs="Times New Roman"/>
                <w:b/>
                <w:sz w:val="24"/>
                <w:szCs w:val="24"/>
              </w:rPr>
            </w:pPr>
          </w:p>
        </w:tc>
      </w:tr>
      <w:tr w14:paraId="29148F1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cantSplit/>
          <w:trHeight w:val="420" w:hRule="atLeast"/>
          <w:tblHeader/>
        </w:trPr>
        <w:tc>
          <w:tcPr>
            <w:tcW w:w="8895" w:type="dxa"/>
            <w:gridSpan w:val="8"/>
            <w:shd w:val="clear" w:color="auto" w:fill="auto"/>
            <w:tcMar>
              <w:top w:w="100" w:type="dxa"/>
              <w:left w:w="100" w:type="dxa"/>
              <w:bottom w:w="100" w:type="dxa"/>
              <w:right w:w="100" w:type="dxa"/>
            </w:tcMar>
          </w:tcPr>
          <w:p w14:paraId="51FB19AB">
            <w:pPr>
              <w:pStyle w:val="77"/>
              <w:widowControl w:val="0"/>
              <w:rPr>
                <w:rFonts w:ascii="Times New Roman" w:hAnsi="Times New Roman" w:cs="Times New Roman"/>
                <w:b/>
                <w:i/>
                <w:iCs/>
                <w:sz w:val="24"/>
                <w:szCs w:val="24"/>
              </w:rPr>
            </w:pPr>
            <w:r>
              <w:rPr>
                <w:rFonts w:ascii="Times New Roman" w:hAnsi="Times New Roman" w:cs="Times New Roman"/>
                <w:b/>
                <w:i/>
                <w:iCs/>
                <w:sz w:val="24"/>
                <w:szCs w:val="24"/>
              </w:rPr>
              <w:t>Preço total lote/item: Por extenso</w:t>
            </w:r>
          </w:p>
        </w:tc>
      </w:tr>
      <w:tr w14:paraId="189B3DC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cantSplit/>
          <w:trHeight w:val="420" w:hRule="atLeast"/>
          <w:tblHeader/>
        </w:trPr>
        <w:tc>
          <w:tcPr>
            <w:tcW w:w="8895" w:type="dxa"/>
            <w:gridSpan w:val="8"/>
            <w:shd w:val="clear" w:color="auto" w:fill="auto"/>
            <w:tcMar>
              <w:top w:w="100" w:type="dxa"/>
              <w:left w:w="100" w:type="dxa"/>
              <w:bottom w:w="100" w:type="dxa"/>
              <w:right w:w="100" w:type="dxa"/>
            </w:tcMar>
          </w:tcPr>
          <w:p w14:paraId="14C304C9">
            <w:pPr>
              <w:pStyle w:val="77"/>
              <w:widowControl w:val="0"/>
              <w:rPr>
                <w:rFonts w:ascii="Times New Roman" w:hAnsi="Times New Roman" w:cs="Times New Roman"/>
                <w:b/>
                <w:i/>
                <w:iCs/>
                <w:sz w:val="24"/>
                <w:szCs w:val="24"/>
              </w:rPr>
            </w:pPr>
            <w:r>
              <w:rPr>
                <w:rFonts w:ascii="Times New Roman" w:hAnsi="Times New Roman" w:cs="Times New Roman"/>
                <w:b/>
                <w:i/>
                <w:iCs/>
                <w:sz w:val="24"/>
                <w:szCs w:val="24"/>
              </w:rPr>
              <w:t>Preço total: Por extenso</w:t>
            </w:r>
          </w:p>
        </w:tc>
      </w:tr>
      <w:tr w14:paraId="5CD3CBB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cantSplit/>
          <w:trHeight w:val="420" w:hRule="atLeast"/>
          <w:tblHeader/>
        </w:trPr>
        <w:tc>
          <w:tcPr>
            <w:tcW w:w="8895" w:type="dxa"/>
            <w:gridSpan w:val="8"/>
            <w:shd w:val="clear" w:color="auto" w:fill="auto"/>
            <w:tcMar>
              <w:top w:w="100" w:type="dxa"/>
              <w:left w:w="100" w:type="dxa"/>
              <w:bottom w:w="100" w:type="dxa"/>
              <w:right w:w="100" w:type="dxa"/>
            </w:tcMar>
          </w:tcPr>
          <w:p w14:paraId="169ED6D0">
            <w:pPr>
              <w:pStyle w:val="77"/>
              <w:widowControl w:val="0"/>
              <w:rPr>
                <w:rFonts w:ascii="Times New Roman" w:hAnsi="Times New Roman" w:cs="Times New Roman"/>
                <w:b/>
                <w:i/>
                <w:iCs/>
                <w:sz w:val="24"/>
                <w:szCs w:val="24"/>
              </w:rPr>
            </w:pPr>
            <w:r>
              <w:rPr>
                <w:rFonts w:ascii="Times New Roman" w:hAnsi="Times New Roman" w:cs="Times New Roman"/>
                <w:b/>
                <w:i/>
                <w:iCs/>
                <w:sz w:val="24"/>
                <w:szCs w:val="24"/>
              </w:rPr>
              <w:t>Declaramos inteira submissão aos termos desta proposta, do Edital e à Legislação em vigor.</w:t>
            </w:r>
          </w:p>
          <w:p w14:paraId="66A3AE45">
            <w:pPr>
              <w:pStyle w:val="77"/>
              <w:widowControl w:val="0"/>
              <w:rPr>
                <w:rFonts w:ascii="Times New Roman" w:hAnsi="Times New Roman" w:cs="Times New Roman"/>
                <w:b/>
                <w:i/>
                <w:iCs/>
                <w:sz w:val="24"/>
                <w:szCs w:val="24"/>
              </w:rPr>
            </w:pPr>
            <w:r>
              <w:rPr>
                <w:rFonts w:ascii="Times New Roman" w:hAnsi="Times New Roman" w:cs="Times New Roman"/>
                <w:b/>
                <w:i/>
                <w:iCs/>
                <w:sz w:val="24"/>
                <w:szCs w:val="24"/>
              </w:rPr>
              <w:t>Valença, _______ de __________________ de ________.</w:t>
            </w:r>
          </w:p>
          <w:p w14:paraId="30617C90">
            <w:pPr>
              <w:pStyle w:val="77"/>
              <w:widowControl w:val="0"/>
              <w:rPr>
                <w:rFonts w:ascii="Times New Roman" w:hAnsi="Times New Roman" w:cs="Times New Roman"/>
                <w:b/>
                <w:i/>
                <w:iCs/>
                <w:sz w:val="24"/>
                <w:szCs w:val="24"/>
              </w:rPr>
            </w:pPr>
            <w:r>
              <w:rPr>
                <w:rFonts w:ascii="Times New Roman" w:hAnsi="Times New Roman" w:cs="Times New Roman"/>
                <w:b/>
                <w:i/>
                <w:iCs/>
                <w:sz w:val="24"/>
                <w:szCs w:val="24"/>
              </w:rPr>
              <w:t>_____________________________________</w:t>
            </w:r>
          </w:p>
          <w:p w14:paraId="26F45E94">
            <w:pPr>
              <w:pStyle w:val="77"/>
              <w:widowControl w:val="0"/>
              <w:rPr>
                <w:rFonts w:ascii="Times New Roman" w:hAnsi="Times New Roman" w:cs="Times New Roman"/>
                <w:b/>
                <w:i/>
                <w:iCs/>
                <w:sz w:val="24"/>
                <w:szCs w:val="24"/>
              </w:rPr>
            </w:pPr>
            <w:r>
              <w:rPr>
                <w:rFonts w:ascii="Times New Roman" w:hAnsi="Times New Roman" w:cs="Times New Roman"/>
                <w:b/>
                <w:i/>
                <w:iCs/>
                <w:sz w:val="24"/>
                <w:szCs w:val="24"/>
              </w:rPr>
              <w:t>Representante legal (nome por extenso)</w:t>
            </w:r>
          </w:p>
          <w:p w14:paraId="07DD2B6F">
            <w:pPr>
              <w:pStyle w:val="77"/>
              <w:widowControl w:val="0"/>
              <w:rPr>
                <w:rFonts w:ascii="Times New Roman" w:hAnsi="Times New Roman" w:cs="Times New Roman"/>
                <w:b/>
                <w:i/>
                <w:iCs/>
                <w:sz w:val="24"/>
                <w:szCs w:val="24"/>
              </w:rPr>
            </w:pPr>
            <w:r>
              <w:rPr>
                <w:rFonts w:ascii="Times New Roman" w:hAnsi="Times New Roman" w:cs="Times New Roman"/>
                <w:b/>
                <w:i/>
                <w:iCs/>
                <w:sz w:val="24"/>
                <w:szCs w:val="24"/>
              </w:rPr>
              <w:t>Cargo:</w:t>
            </w:r>
          </w:p>
          <w:p w14:paraId="4AD808BB">
            <w:pPr>
              <w:pStyle w:val="77"/>
              <w:widowControl w:val="0"/>
              <w:rPr>
                <w:rFonts w:ascii="Times New Roman" w:hAnsi="Times New Roman" w:cs="Times New Roman"/>
                <w:b/>
                <w:i/>
                <w:iCs/>
                <w:sz w:val="24"/>
                <w:szCs w:val="24"/>
              </w:rPr>
            </w:pPr>
            <w:r>
              <w:rPr>
                <w:rFonts w:ascii="Times New Roman" w:hAnsi="Times New Roman" w:cs="Times New Roman"/>
                <w:b/>
                <w:i/>
                <w:iCs/>
                <w:sz w:val="24"/>
                <w:szCs w:val="24"/>
              </w:rPr>
              <w:t>CPF:</w:t>
            </w:r>
          </w:p>
        </w:tc>
      </w:tr>
    </w:tbl>
    <w:p w14:paraId="443C21BF">
      <w:pPr>
        <w:pStyle w:val="77"/>
        <w:jc w:val="both"/>
        <w:rPr>
          <w:rFonts w:ascii="Times New Roman" w:hAnsi="Times New Roman" w:cs="Times New Roman"/>
          <w:b/>
          <w:sz w:val="24"/>
          <w:szCs w:val="24"/>
          <w:highlight w:val="yellow"/>
        </w:rPr>
      </w:pPr>
      <w:r>
        <w:rPr>
          <w:rFonts w:ascii="Times New Roman" w:hAnsi="Times New Roman" w:cs="Times New Roman"/>
          <w:b/>
          <w:sz w:val="24"/>
          <w:szCs w:val="24"/>
          <w:highlight w:val="yellow"/>
        </w:rPr>
        <w:t>Deverão ser atendidas as especificações constantes no Termo de Referência.</w:t>
      </w:r>
    </w:p>
    <w:p w14:paraId="51E7818A">
      <w:pPr>
        <w:pStyle w:val="77"/>
        <w:jc w:val="both"/>
        <w:rPr>
          <w:rFonts w:ascii="Times New Roman" w:hAnsi="Times New Roman" w:cs="Times New Roman"/>
          <w:b/>
          <w:sz w:val="24"/>
          <w:szCs w:val="24"/>
          <w:highlight w:val="yellow"/>
        </w:rPr>
      </w:pPr>
      <w:r>
        <w:rPr>
          <w:rFonts w:ascii="Times New Roman" w:hAnsi="Times New Roman" w:cs="Times New Roman"/>
          <w:b/>
          <w:sz w:val="24"/>
          <w:szCs w:val="24"/>
          <w:highlight w:val="yellow"/>
        </w:rPr>
        <w:t>Validade da proposta: 60 (sessenta) dias.</w:t>
      </w:r>
    </w:p>
    <w:p w14:paraId="39616D37">
      <w:pPr>
        <w:pStyle w:val="77"/>
        <w:jc w:val="both"/>
        <w:rPr>
          <w:rFonts w:ascii="Times New Roman" w:hAnsi="Times New Roman" w:cs="Times New Roman"/>
          <w:b/>
          <w:sz w:val="24"/>
          <w:szCs w:val="24"/>
          <w:highlight w:val="yellow"/>
        </w:rPr>
      </w:pPr>
      <w:r>
        <w:rPr>
          <w:rFonts w:ascii="Times New Roman" w:hAnsi="Times New Roman" w:cs="Times New Roman"/>
          <w:b/>
          <w:sz w:val="24"/>
          <w:szCs w:val="24"/>
          <w:highlight w:val="yellow"/>
        </w:rPr>
        <w:t>Local de Entrega dos materiais: Conforme Termo de Referência.</w:t>
      </w:r>
    </w:p>
    <w:p w14:paraId="69A7A7E7">
      <w:pPr>
        <w:pStyle w:val="77"/>
        <w:jc w:val="both"/>
        <w:rPr>
          <w:rFonts w:ascii="Times New Roman" w:hAnsi="Times New Roman" w:cs="Times New Roman"/>
          <w:b/>
          <w:sz w:val="24"/>
          <w:szCs w:val="24"/>
          <w:highlight w:val="yellow"/>
        </w:rPr>
      </w:pPr>
      <w:r>
        <w:rPr>
          <w:rFonts w:ascii="Times New Roman" w:hAnsi="Times New Roman" w:cs="Times New Roman"/>
          <w:b/>
          <w:sz w:val="24"/>
          <w:szCs w:val="24"/>
          <w:highlight w:val="yellow"/>
        </w:rPr>
        <w:t>Obs.1: A empresa adjudicatária deverá fornecer os materiais de acordo com estabelecido na Legislação específica vigente e no Código de Defesa do Consumidor.</w:t>
      </w:r>
    </w:p>
    <w:p w14:paraId="5FE12959">
      <w:pPr>
        <w:pStyle w:val="77"/>
        <w:jc w:val="both"/>
        <w:rPr>
          <w:rFonts w:ascii="Times New Roman" w:hAnsi="Times New Roman" w:cs="Times New Roman"/>
          <w:b/>
          <w:sz w:val="24"/>
          <w:szCs w:val="24"/>
          <w:highlight w:val="yellow"/>
        </w:rPr>
      </w:pPr>
      <w:r>
        <w:rPr>
          <w:rFonts w:ascii="Times New Roman" w:hAnsi="Times New Roman" w:cs="Times New Roman"/>
          <w:b/>
          <w:sz w:val="24"/>
          <w:szCs w:val="24"/>
          <w:highlight w:val="yellow"/>
        </w:rPr>
        <w:t>Obs. 2: A entrega dos materiais será aceita provisoriamente no local de entrega e após conferência de sua conformidade será o mesmo aceito definitivamente.</w:t>
      </w:r>
    </w:p>
    <w:p w14:paraId="5BFC32C4">
      <w:pPr>
        <w:pStyle w:val="77"/>
        <w:jc w:val="both"/>
        <w:rPr>
          <w:rFonts w:ascii="Times New Roman" w:hAnsi="Times New Roman" w:cs="Times New Roman"/>
          <w:b/>
          <w:sz w:val="24"/>
          <w:szCs w:val="24"/>
        </w:rPr>
      </w:pPr>
      <w:r>
        <w:rPr>
          <w:rFonts w:ascii="Times New Roman" w:hAnsi="Times New Roman" w:cs="Times New Roman"/>
          <w:b/>
          <w:sz w:val="24"/>
          <w:szCs w:val="24"/>
          <w:highlight w:val="yellow"/>
        </w:rPr>
        <w:t>Obs. 3: A proposta deverá ser elaborada em papel timbrado da empresa, com todos os dados da mesma.</w:t>
      </w:r>
    </w:p>
    <w:p w14:paraId="75347792">
      <w:pPr>
        <w:pStyle w:val="70"/>
        <w:rPr>
          <w:rFonts w:ascii="Times New Roman" w:hAnsi="Times New Roman" w:cs="Times New Roman"/>
        </w:rPr>
      </w:pPr>
    </w:p>
    <w:p w14:paraId="78DC0B3B">
      <w:pPr>
        <w:jc w:val="center"/>
        <w:rPr>
          <w:b/>
          <w:color w:val="000000"/>
          <w:sz w:val="24"/>
          <w:szCs w:val="24"/>
        </w:rPr>
      </w:pPr>
      <w:r>
        <w:rPr>
          <w:b/>
          <w:color w:val="000000"/>
          <w:sz w:val="24"/>
          <w:szCs w:val="24"/>
        </w:rPr>
        <w:t xml:space="preserve">   </w:t>
      </w:r>
    </w:p>
    <w:p w14:paraId="42B8DA6C">
      <w:pPr>
        <w:spacing w:before="288" w:beforeLines="120" w:after="288" w:afterLines="120" w:line="288" w:lineRule="auto"/>
        <w:contextualSpacing/>
        <w:jc w:val="center"/>
        <w:rPr>
          <w:rFonts w:eastAsia="MS Mincho"/>
          <w:b/>
          <w:sz w:val="24"/>
          <w:szCs w:val="24"/>
        </w:rPr>
      </w:pPr>
      <w:r>
        <w:rPr>
          <w:rFonts w:eastAsia="MS Mincho"/>
          <w:b/>
          <w:sz w:val="24"/>
          <w:szCs w:val="24"/>
        </w:rPr>
        <w:t>ANEXO</w:t>
      </w:r>
      <w:r>
        <w:rPr>
          <w:rFonts w:eastAsia="MS Mincho"/>
          <w:b/>
          <w:color w:val="000000" w:themeColor="text1"/>
          <w:sz w:val="24"/>
          <w:szCs w:val="24"/>
          <w14:textFill>
            <w14:solidFill>
              <w14:schemeClr w14:val="tx1"/>
            </w14:solidFill>
          </w14:textFill>
        </w:rPr>
        <w:t xml:space="preserve"> IV </w:t>
      </w:r>
      <w:r>
        <w:rPr>
          <w:rFonts w:eastAsia="MS Mincho"/>
          <w:b/>
          <w:sz w:val="24"/>
          <w:szCs w:val="24"/>
        </w:rPr>
        <w:t xml:space="preserve"> </w:t>
      </w:r>
    </w:p>
    <w:p w14:paraId="27E5C4C3">
      <w:pPr>
        <w:spacing w:before="288" w:beforeLines="120" w:after="288" w:afterLines="120" w:line="288" w:lineRule="auto"/>
        <w:contextualSpacing/>
        <w:jc w:val="center"/>
        <w:rPr>
          <w:rFonts w:eastAsia="MS Mincho"/>
          <w:b/>
          <w:sz w:val="24"/>
          <w:szCs w:val="24"/>
        </w:rPr>
      </w:pPr>
    </w:p>
    <w:p w14:paraId="2CA7C58E">
      <w:pPr>
        <w:spacing w:before="288" w:beforeLines="120" w:after="288" w:afterLines="120" w:line="288" w:lineRule="auto"/>
        <w:contextualSpacing/>
        <w:jc w:val="center"/>
        <w:rPr>
          <w:rFonts w:eastAsia="MS Mincho"/>
          <w:b/>
          <w:color w:val="FF0000"/>
          <w:sz w:val="24"/>
          <w:szCs w:val="24"/>
          <w:u w:val="single"/>
        </w:rPr>
      </w:pPr>
      <w:r>
        <w:rPr>
          <w:rFonts w:eastAsia="MS Mincho"/>
          <w:b/>
          <w:sz w:val="24"/>
          <w:szCs w:val="24"/>
          <w:highlight w:val="yellow"/>
          <w:u w:val="single"/>
        </w:rPr>
        <w:t>DOCUMENTAÇÃO EXIGIDA PARA HABILITAÇÃO</w:t>
      </w:r>
    </w:p>
    <w:p w14:paraId="3B529A73">
      <w:pPr>
        <w:spacing w:before="288" w:beforeLines="120" w:after="288" w:afterLines="120" w:line="288" w:lineRule="auto"/>
        <w:contextualSpacing/>
        <w:jc w:val="center"/>
        <w:rPr>
          <w:rFonts w:eastAsia="MS Mincho"/>
          <w:b/>
          <w:color w:val="FF0000"/>
          <w:sz w:val="24"/>
          <w:szCs w:val="24"/>
        </w:rPr>
      </w:pPr>
    </w:p>
    <w:p w14:paraId="6AFBFAA7">
      <w:pPr>
        <w:spacing w:line="288" w:lineRule="auto"/>
        <w:contextualSpacing/>
        <w:rPr>
          <w:color w:val="FF0000"/>
          <w:sz w:val="24"/>
          <w:szCs w:val="24"/>
        </w:rPr>
      </w:pPr>
    </w:p>
    <w:p w14:paraId="5FCBC071">
      <w:pPr>
        <w:spacing w:line="288" w:lineRule="auto"/>
        <w:contextualSpacing/>
        <w:rPr>
          <w:b/>
          <w:bCs/>
          <w:sz w:val="24"/>
          <w:szCs w:val="24"/>
        </w:rPr>
      </w:pPr>
      <w:r>
        <w:rPr>
          <w:b/>
          <w:bCs/>
          <w:sz w:val="24"/>
          <w:szCs w:val="24"/>
        </w:rPr>
        <w:t>1. HABILITAÇÃO JURÍDICA</w:t>
      </w:r>
    </w:p>
    <w:p w14:paraId="26A29EEC">
      <w:pPr>
        <w:spacing w:line="288" w:lineRule="auto"/>
        <w:contextualSpacing/>
        <w:rPr>
          <w:sz w:val="24"/>
          <w:szCs w:val="24"/>
        </w:rPr>
      </w:pPr>
    </w:p>
    <w:p w14:paraId="47B77E7A">
      <w:pPr>
        <w:spacing w:before="240" w:after="240" w:line="288" w:lineRule="auto"/>
        <w:contextualSpacing/>
        <w:jc w:val="both"/>
        <w:rPr>
          <w:sz w:val="24"/>
          <w:szCs w:val="24"/>
        </w:rPr>
      </w:pPr>
      <w:r>
        <w:rPr>
          <w:bCs/>
          <w:sz w:val="24"/>
          <w:szCs w:val="24"/>
        </w:rPr>
        <w:t xml:space="preserve">1.1 </w:t>
      </w:r>
      <w:r>
        <w:rPr>
          <w:sz w:val="24"/>
          <w:szCs w:val="24"/>
        </w:rPr>
        <w:t>Pessoa física: cédula de identidade (RG) ou documento equivalente que, por força de lei, tenha validade para fins de identificação em todo o território nacional.</w:t>
      </w:r>
    </w:p>
    <w:p w14:paraId="657BF7BE">
      <w:pPr>
        <w:tabs>
          <w:tab w:val="left" w:pos="1440"/>
        </w:tabs>
        <w:autoSpaceDE w:val="0"/>
        <w:snapToGrid w:val="0"/>
        <w:spacing w:line="288" w:lineRule="auto"/>
        <w:contextualSpacing/>
        <w:jc w:val="both"/>
        <w:rPr>
          <w:sz w:val="24"/>
          <w:szCs w:val="24"/>
        </w:rPr>
      </w:pPr>
    </w:p>
    <w:p w14:paraId="5FDC23AA">
      <w:pPr>
        <w:tabs>
          <w:tab w:val="left" w:pos="1440"/>
        </w:tabs>
        <w:autoSpaceDE w:val="0"/>
        <w:snapToGrid w:val="0"/>
        <w:spacing w:line="288" w:lineRule="auto"/>
        <w:contextualSpacing/>
        <w:jc w:val="both"/>
        <w:rPr>
          <w:sz w:val="24"/>
          <w:szCs w:val="24"/>
        </w:rPr>
      </w:pPr>
      <w:r>
        <w:rPr>
          <w:sz w:val="24"/>
          <w:szCs w:val="24"/>
        </w:rPr>
        <w:t>1.2 Empresário individual: inscrição no Registro Público de Empresas Mercantis, a cargo da Junta Comercial da respectiva sede.</w:t>
      </w:r>
    </w:p>
    <w:p w14:paraId="1B512353">
      <w:pPr>
        <w:tabs>
          <w:tab w:val="left" w:pos="1440"/>
        </w:tabs>
        <w:autoSpaceDE w:val="0"/>
        <w:snapToGrid w:val="0"/>
        <w:spacing w:line="288" w:lineRule="auto"/>
        <w:contextualSpacing/>
        <w:jc w:val="both"/>
        <w:rPr>
          <w:sz w:val="24"/>
          <w:szCs w:val="24"/>
        </w:rPr>
      </w:pPr>
    </w:p>
    <w:p w14:paraId="12C4F694">
      <w:pPr>
        <w:tabs>
          <w:tab w:val="left" w:pos="1440"/>
        </w:tabs>
        <w:autoSpaceDE w:val="0"/>
        <w:snapToGrid w:val="0"/>
        <w:spacing w:line="288" w:lineRule="auto"/>
        <w:contextualSpacing/>
        <w:jc w:val="both"/>
        <w:rPr>
          <w:color w:val="000000"/>
          <w:sz w:val="24"/>
          <w:szCs w:val="24"/>
        </w:rPr>
      </w:pPr>
      <w:r>
        <w:rPr>
          <w:color w:val="000000"/>
          <w:sz w:val="24"/>
          <w:szCs w:val="24"/>
        </w:rPr>
        <w:t xml:space="preserve">1.3 Microempreendedor Individual - MEI: Certificado da Condição de Microempreendedor Individual - CCMEI, cuja aceitação ficará condicionada à verificação da autenticidade no sítio </w:t>
      </w:r>
      <w:r>
        <w:fldChar w:fldCharType="begin"/>
      </w:r>
      <w:r>
        <w:instrText xml:space="preserve"> HYPERLINK "http://www.portaldoempreendedor.gov.br" </w:instrText>
      </w:r>
      <w:r>
        <w:fldChar w:fldCharType="separate"/>
      </w:r>
      <w:r>
        <w:rPr>
          <w:rStyle w:val="16"/>
          <w:rFonts w:eastAsiaTheme="minorHAnsi"/>
          <w:sz w:val="24"/>
          <w:szCs w:val="24"/>
        </w:rPr>
        <w:t>www.portaldoempreendedor.gov.br</w:t>
      </w:r>
      <w:r>
        <w:rPr>
          <w:rStyle w:val="16"/>
          <w:rFonts w:eastAsiaTheme="minorHAnsi"/>
          <w:sz w:val="24"/>
          <w:szCs w:val="24"/>
        </w:rPr>
        <w:fldChar w:fldCharType="end"/>
      </w:r>
      <w:r>
        <w:rPr>
          <w:color w:val="000000"/>
          <w:sz w:val="24"/>
          <w:szCs w:val="24"/>
        </w:rPr>
        <w:t>.</w:t>
      </w:r>
    </w:p>
    <w:p w14:paraId="293453EC">
      <w:pPr>
        <w:tabs>
          <w:tab w:val="left" w:pos="1440"/>
        </w:tabs>
        <w:autoSpaceDE w:val="0"/>
        <w:snapToGrid w:val="0"/>
        <w:spacing w:line="288" w:lineRule="auto"/>
        <w:contextualSpacing/>
        <w:rPr>
          <w:color w:val="000000"/>
          <w:sz w:val="24"/>
          <w:szCs w:val="24"/>
        </w:rPr>
      </w:pPr>
    </w:p>
    <w:p w14:paraId="57845B80">
      <w:pPr>
        <w:tabs>
          <w:tab w:val="left" w:pos="1440"/>
        </w:tabs>
        <w:autoSpaceDE w:val="0"/>
        <w:snapToGrid w:val="0"/>
        <w:spacing w:line="288" w:lineRule="auto"/>
        <w:contextualSpacing/>
        <w:jc w:val="both"/>
        <w:rPr>
          <w:color w:val="000000"/>
          <w:sz w:val="24"/>
          <w:szCs w:val="24"/>
        </w:rPr>
      </w:pPr>
      <w:r>
        <w:rPr>
          <w:color w:val="000000"/>
          <w:sz w:val="24"/>
          <w:szCs w:val="24"/>
        </w:rPr>
        <w:t xml:space="preserve">1.4 Sociedade Limitada Unipessoal - SLU: ato constitutivo, estatuto ou contrato social em vigor inscrito </w:t>
      </w:r>
      <w:r>
        <w:rPr>
          <w:sz w:val="24"/>
          <w:szCs w:val="24"/>
        </w:rPr>
        <w:t>no Registro Público de Empresas Mercantis, a cargo</w:t>
      </w:r>
      <w:r>
        <w:rPr>
          <w:color w:val="000000"/>
          <w:sz w:val="24"/>
          <w:szCs w:val="24"/>
        </w:rPr>
        <w:t xml:space="preserve"> da Junta Comercial da respectiva sede, acompanhado de documento comprobatório do administrador, sendo assim enquadrada a sociedade identificada como Empresas Individual de Responsabilidade Limitada – EIRELI, na forma do art. 41, da Lei nº 14.195, de 26 de agosto de 2021.</w:t>
      </w:r>
    </w:p>
    <w:p w14:paraId="0BB72461">
      <w:pPr>
        <w:tabs>
          <w:tab w:val="left" w:pos="1440"/>
        </w:tabs>
        <w:autoSpaceDE w:val="0"/>
        <w:snapToGrid w:val="0"/>
        <w:spacing w:line="288" w:lineRule="auto"/>
        <w:contextualSpacing/>
        <w:rPr>
          <w:sz w:val="24"/>
          <w:szCs w:val="24"/>
        </w:rPr>
      </w:pPr>
    </w:p>
    <w:p w14:paraId="0BFB5FC7">
      <w:pPr>
        <w:spacing w:line="288" w:lineRule="auto"/>
        <w:contextualSpacing/>
        <w:jc w:val="both"/>
        <w:rPr>
          <w:color w:val="000000"/>
          <w:sz w:val="24"/>
          <w:szCs w:val="24"/>
        </w:rPr>
      </w:pPr>
      <w:r>
        <w:rPr>
          <w:color w:val="000000"/>
          <w:sz w:val="24"/>
          <w:szCs w:val="24"/>
        </w:rPr>
        <w:t xml:space="preserve">1.5 Sociedade Empresária Estrangeira em funcionamento no País: </w:t>
      </w:r>
      <w:r>
        <w:rPr>
          <w:sz w:val="24"/>
          <w:szCs w:val="24"/>
        </w:rPr>
        <w:t>portaria de autorização de funcionamento no Brasil, publicada no Diário Oficial da União e arquivada na Junta Comercial da unidade federativa onde se localizar a filial, agência, sucursal ou estabelecimento, a qual será considerada como sua sede, conforme Instrução Normativa DREI/ME n.º 77, de 18 de março de 2020 ou norma posterior que regule a matéria.</w:t>
      </w:r>
    </w:p>
    <w:p w14:paraId="45961428">
      <w:pPr>
        <w:tabs>
          <w:tab w:val="left" w:pos="1440"/>
        </w:tabs>
        <w:autoSpaceDE w:val="0"/>
        <w:snapToGrid w:val="0"/>
        <w:spacing w:line="288" w:lineRule="auto"/>
        <w:contextualSpacing/>
        <w:jc w:val="both"/>
        <w:rPr>
          <w:color w:val="000000"/>
          <w:sz w:val="24"/>
          <w:szCs w:val="24"/>
        </w:rPr>
      </w:pPr>
    </w:p>
    <w:p w14:paraId="29902B95">
      <w:pPr>
        <w:tabs>
          <w:tab w:val="left" w:pos="1440"/>
        </w:tabs>
        <w:autoSpaceDE w:val="0"/>
        <w:snapToGrid w:val="0"/>
        <w:spacing w:line="288" w:lineRule="auto"/>
        <w:contextualSpacing/>
        <w:jc w:val="both"/>
        <w:rPr>
          <w:color w:val="000000"/>
          <w:sz w:val="24"/>
          <w:szCs w:val="24"/>
        </w:rPr>
      </w:pPr>
      <w:r>
        <w:rPr>
          <w:color w:val="000000"/>
          <w:sz w:val="24"/>
          <w:szCs w:val="24"/>
        </w:rPr>
        <w:t>1.6 Sociedade Simples: inscrição do ato constitutivo no Registro Civil das Pessoas Jurídicas do local de sua sede, acompanhada de prova da indicação dos seus administradores.</w:t>
      </w:r>
    </w:p>
    <w:p w14:paraId="1AE4BFEF">
      <w:pPr>
        <w:tabs>
          <w:tab w:val="left" w:pos="1440"/>
        </w:tabs>
        <w:autoSpaceDE w:val="0"/>
        <w:snapToGrid w:val="0"/>
        <w:spacing w:line="288" w:lineRule="auto"/>
        <w:contextualSpacing/>
        <w:jc w:val="both"/>
        <w:rPr>
          <w:color w:val="000000"/>
          <w:sz w:val="24"/>
          <w:szCs w:val="24"/>
        </w:rPr>
      </w:pPr>
    </w:p>
    <w:p w14:paraId="54A3EE44">
      <w:pPr>
        <w:tabs>
          <w:tab w:val="left" w:pos="1440"/>
        </w:tabs>
        <w:autoSpaceDE w:val="0"/>
        <w:snapToGrid w:val="0"/>
        <w:spacing w:line="288" w:lineRule="auto"/>
        <w:contextualSpacing/>
        <w:jc w:val="both"/>
        <w:rPr>
          <w:color w:val="000000"/>
          <w:sz w:val="24"/>
          <w:szCs w:val="24"/>
        </w:rPr>
      </w:pPr>
      <w:r>
        <w:rPr>
          <w:color w:val="000000"/>
          <w:sz w:val="24"/>
          <w:szCs w:val="24"/>
        </w:rPr>
        <w:t xml:space="preserve">1.7 </w:t>
      </w:r>
      <w:r>
        <w:rPr>
          <w:sz w:val="24"/>
          <w:szCs w:val="24"/>
        </w:rPr>
        <w:t>Filial, sucursal ou agência de sociedade simples ou empresária: inscrição do ato constitutivo da filial, sucursal ou agência da sociedade simples ou empresária, respectivamente, no Registro Civil das Pessoas Jurídicas ou no Registro Público de Empresas Mercantis onde opera, com averbação no Registro onde se encontra estabelecida a matriz.</w:t>
      </w:r>
    </w:p>
    <w:p w14:paraId="2FF89A9E">
      <w:pPr>
        <w:tabs>
          <w:tab w:val="left" w:pos="1440"/>
        </w:tabs>
        <w:autoSpaceDE w:val="0"/>
        <w:snapToGrid w:val="0"/>
        <w:spacing w:line="288" w:lineRule="auto"/>
        <w:contextualSpacing/>
        <w:jc w:val="both"/>
        <w:rPr>
          <w:color w:val="000000"/>
          <w:sz w:val="24"/>
          <w:szCs w:val="24"/>
        </w:rPr>
      </w:pPr>
    </w:p>
    <w:p w14:paraId="6F507929">
      <w:pPr>
        <w:tabs>
          <w:tab w:val="left" w:pos="1440"/>
        </w:tabs>
        <w:autoSpaceDE w:val="0"/>
        <w:snapToGrid w:val="0"/>
        <w:spacing w:line="288" w:lineRule="auto"/>
        <w:contextualSpacing/>
        <w:jc w:val="both"/>
        <w:rPr>
          <w:sz w:val="24"/>
          <w:szCs w:val="24"/>
        </w:rPr>
      </w:pPr>
      <w:r>
        <w:rPr>
          <w:sz w:val="24"/>
          <w:szCs w:val="24"/>
        </w:rPr>
        <w:t>1.8 Sociedade Cooperativa: ata de fundação e estatuto social em vigor, com a ata da assembleia que o aprovou, devidamente arquivado na Junta Comercial ou inscrito no Registro Civil das Pessoas Jurídicas da respectiva sede, bem como o registro de que trata o art. 107 da Lei nº 5.764, de 16 de dezembro de 1971, demonstrando que a sua constituição e funcionamento observam as regras estabelecidas na legislação aplicável, em especial a Lei nº 5.764/1971, a Lei nº 12.690, de 19 de julho de 2012, e a Lei Complementar nº 130, de 17 de abril de 2009.</w:t>
      </w:r>
    </w:p>
    <w:p w14:paraId="7D450AF5">
      <w:pPr>
        <w:tabs>
          <w:tab w:val="left" w:pos="1440"/>
        </w:tabs>
        <w:autoSpaceDE w:val="0"/>
        <w:snapToGrid w:val="0"/>
        <w:spacing w:line="288" w:lineRule="auto"/>
        <w:contextualSpacing/>
        <w:jc w:val="both"/>
        <w:rPr>
          <w:sz w:val="24"/>
          <w:szCs w:val="24"/>
        </w:rPr>
      </w:pPr>
    </w:p>
    <w:p w14:paraId="5CC25CF4">
      <w:pPr>
        <w:spacing w:line="288" w:lineRule="auto"/>
        <w:contextualSpacing/>
        <w:rPr>
          <w:sz w:val="24"/>
          <w:szCs w:val="24"/>
        </w:rPr>
      </w:pPr>
      <w:r>
        <w:rPr>
          <w:bCs/>
          <w:sz w:val="24"/>
          <w:szCs w:val="24"/>
        </w:rPr>
        <w:t xml:space="preserve">1.9 </w:t>
      </w:r>
      <w:r>
        <w:rPr>
          <w:bCs/>
          <w:color w:val="000000"/>
          <w:sz w:val="24"/>
          <w:szCs w:val="24"/>
        </w:rPr>
        <w:t>Quando cabível, os documentos apresentados devem estar acompanhados de todas as alterações ou da consolidação respectiva.</w:t>
      </w:r>
    </w:p>
    <w:p w14:paraId="2774D189">
      <w:pPr>
        <w:spacing w:line="288" w:lineRule="auto"/>
        <w:contextualSpacing/>
        <w:rPr>
          <w:sz w:val="24"/>
          <w:szCs w:val="24"/>
        </w:rPr>
      </w:pPr>
    </w:p>
    <w:p w14:paraId="479746E4">
      <w:pPr>
        <w:spacing w:line="288" w:lineRule="auto"/>
        <w:contextualSpacing/>
        <w:rPr>
          <w:b/>
          <w:bCs/>
          <w:color w:val="000000"/>
          <w:sz w:val="24"/>
          <w:szCs w:val="24"/>
        </w:rPr>
      </w:pPr>
      <w:r>
        <w:rPr>
          <w:b/>
          <w:bCs/>
          <w:sz w:val="24"/>
          <w:szCs w:val="24"/>
        </w:rPr>
        <w:t xml:space="preserve">2. HABILITAÇÃO </w:t>
      </w:r>
      <w:r>
        <w:rPr>
          <w:b/>
          <w:bCs/>
          <w:color w:val="000000"/>
          <w:sz w:val="24"/>
          <w:szCs w:val="24"/>
        </w:rPr>
        <w:t>FISCAL, SOCIAL E TRABALHISTA:</w:t>
      </w:r>
    </w:p>
    <w:p w14:paraId="118775AB">
      <w:pPr>
        <w:spacing w:line="288" w:lineRule="auto"/>
        <w:contextualSpacing/>
        <w:rPr>
          <w:b/>
          <w:bCs/>
          <w:color w:val="000000"/>
          <w:sz w:val="24"/>
          <w:szCs w:val="24"/>
        </w:rPr>
      </w:pPr>
    </w:p>
    <w:p w14:paraId="14B9D69F">
      <w:pPr>
        <w:tabs>
          <w:tab w:val="left" w:pos="1440"/>
        </w:tabs>
        <w:autoSpaceDE w:val="0"/>
        <w:snapToGrid w:val="0"/>
        <w:spacing w:line="288" w:lineRule="auto"/>
        <w:contextualSpacing/>
        <w:jc w:val="both"/>
        <w:rPr>
          <w:sz w:val="24"/>
          <w:szCs w:val="24"/>
          <w:lang w:eastAsia="en-US"/>
        </w:rPr>
      </w:pPr>
      <w:r>
        <w:rPr>
          <w:sz w:val="24"/>
          <w:szCs w:val="24"/>
          <w:lang w:eastAsia="en-US"/>
        </w:rPr>
        <w:t>2.1 Inscrição no Cadastro Nacional de Pessoas Jurídicas ou no Cadastro de Pessoas Físicas, conforme o caso.</w:t>
      </w:r>
    </w:p>
    <w:p w14:paraId="386B5FC3">
      <w:pPr>
        <w:tabs>
          <w:tab w:val="left" w:pos="1440"/>
        </w:tabs>
        <w:autoSpaceDE w:val="0"/>
        <w:snapToGrid w:val="0"/>
        <w:spacing w:line="288" w:lineRule="auto"/>
        <w:contextualSpacing/>
        <w:jc w:val="both"/>
        <w:rPr>
          <w:sz w:val="24"/>
          <w:szCs w:val="24"/>
          <w:lang w:eastAsia="en-US"/>
        </w:rPr>
      </w:pPr>
    </w:p>
    <w:p w14:paraId="0A45990E">
      <w:pPr>
        <w:tabs>
          <w:tab w:val="left" w:pos="1440"/>
        </w:tabs>
        <w:autoSpaceDE w:val="0"/>
        <w:snapToGrid w:val="0"/>
        <w:spacing w:line="288" w:lineRule="auto"/>
        <w:contextualSpacing/>
        <w:jc w:val="both"/>
        <w:rPr>
          <w:sz w:val="24"/>
          <w:szCs w:val="24"/>
        </w:rPr>
      </w:pPr>
      <w:r>
        <w:rPr>
          <w:sz w:val="24"/>
          <w:szCs w:val="24"/>
        </w:rPr>
        <w:t xml:space="preserve">2.2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w:t>
      </w:r>
    </w:p>
    <w:p w14:paraId="2B0D6011">
      <w:pPr>
        <w:tabs>
          <w:tab w:val="left" w:pos="1440"/>
        </w:tabs>
        <w:autoSpaceDE w:val="0"/>
        <w:snapToGrid w:val="0"/>
        <w:spacing w:line="288" w:lineRule="auto"/>
        <w:contextualSpacing/>
        <w:jc w:val="both"/>
        <w:rPr>
          <w:sz w:val="24"/>
          <w:szCs w:val="24"/>
        </w:rPr>
      </w:pPr>
    </w:p>
    <w:p w14:paraId="3B2B2592">
      <w:pPr>
        <w:tabs>
          <w:tab w:val="left" w:pos="1440"/>
        </w:tabs>
        <w:autoSpaceDE w:val="0"/>
        <w:snapToGrid w:val="0"/>
        <w:spacing w:line="288" w:lineRule="auto"/>
        <w:contextualSpacing/>
        <w:jc w:val="both"/>
        <w:rPr>
          <w:sz w:val="24"/>
          <w:szCs w:val="24"/>
        </w:rPr>
      </w:pPr>
      <w:r>
        <w:rPr>
          <w:color w:val="000000"/>
          <w:sz w:val="24"/>
          <w:szCs w:val="24"/>
          <w:lang w:eastAsia="en-US"/>
        </w:rPr>
        <w:t>2.3 Regularidade com o Fundo de Garantia do Tempo de Serviço (FGTS).</w:t>
      </w:r>
    </w:p>
    <w:p w14:paraId="014D3121">
      <w:pPr>
        <w:tabs>
          <w:tab w:val="left" w:pos="1440"/>
        </w:tabs>
        <w:autoSpaceDE w:val="0"/>
        <w:snapToGrid w:val="0"/>
        <w:spacing w:line="288" w:lineRule="auto"/>
        <w:contextualSpacing/>
        <w:jc w:val="both"/>
        <w:rPr>
          <w:sz w:val="24"/>
          <w:szCs w:val="24"/>
        </w:rPr>
      </w:pPr>
    </w:p>
    <w:p w14:paraId="09625F5C">
      <w:pPr>
        <w:tabs>
          <w:tab w:val="left" w:pos="1440"/>
        </w:tabs>
        <w:autoSpaceDE w:val="0"/>
        <w:snapToGrid w:val="0"/>
        <w:spacing w:line="288" w:lineRule="auto"/>
        <w:contextualSpacing/>
        <w:jc w:val="both"/>
        <w:rPr>
          <w:sz w:val="24"/>
          <w:szCs w:val="24"/>
        </w:rPr>
      </w:pPr>
      <w:r>
        <w:rPr>
          <w:color w:val="000000"/>
          <w:sz w:val="24"/>
          <w:szCs w:val="24"/>
        </w:rPr>
        <w:t>2.4 Declaração de que não emprega menor de 18 anos em trabalho noturno, perigoso ou insalubre e não emprega menor de 16 anos, salvo menor, a partir de 14 anos, na condição de aprendiz, nos termos do art. 7°, XXXIII, da Constituição.</w:t>
      </w:r>
    </w:p>
    <w:p w14:paraId="1DF111E2">
      <w:pPr>
        <w:tabs>
          <w:tab w:val="left" w:pos="1440"/>
        </w:tabs>
        <w:autoSpaceDE w:val="0"/>
        <w:snapToGrid w:val="0"/>
        <w:spacing w:line="288" w:lineRule="auto"/>
        <w:contextualSpacing/>
        <w:jc w:val="both"/>
        <w:rPr>
          <w:color w:val="000000"/>
          <w:sz w:val="24"/>
          <w:szCs w:val="24"/>
        </w:rPr>
      </w:pPr>
    </w:p>
    <w:p w14:paraId="4447D8B1">
      <w:pPr>
        <w:tabs>
          <w:tab w:val="left" w:pos="1440"/>
        </w:tabs>
        <w:autoSpaceDE w:val="0"/>
        <w:snapToGrid w:val="0"/>
        <w:spacing w:line="288" w:lineRule="auto"/>
        <w:contextualSpacing/>
        <w:jc w:val="both"/>
        <w:rPr>
          <w:sz w:val="24"/>
          <w:szCs w:val="24"/>
          <w:lang w:eastAsia="en-US"/>
        </w:rPr>
      </w:pPr>
      <w:r>
        <w:rPr>
          <w:sz w:val="24"/>
          <w:szCs w:val="24"/>
          <w:lang w:eastAsia="en-US"/>
        </w:rPr>
        <w:t>2.5 Prova de inexistência de débitos inadimplidos perante a Justiça do Trabalho, mediante a apresentação de certidão negativa ou positiva com efeito de negativa, nos termos do Título VII-A da Consolidação das Leis do Trabalho.</w:t>
      </w:r>
    </w:p>
    <w:p w14:paraId="1350C85F">
      <w:pPr>
        <w:tabs>
          <w:tab w:val="left" w:pos="1440"/>
        </w:tabs>
        <w:autoSpaceDE w:val="0"/>
        <w:snapToGrid w:val="0"/>
        <w:spacing w:line="288" w:lineRule="auto"/>
        <w:contextualSpacing/>
        <w:jc w:val="both"/>
        <w:rPr>
          <w:sz w:val="24"/>
          <w:szCs w:val="24"/>
          <w:lang w:eastAsia="en-US"/>
        </w:rPr>
      </w:pPr>
    </w:p>
    <w:p w14:paraId="1D239A03">
      <w:pPr>
        <w:tabs>
          <w:tab w:val="left" w:pos="1440"/>
        </w:tabs>
        <w:autoSpaceDE w:val="0"/>
        <w:snapToGrid w:val="0"/>
        <w:spacing w:line="288" w:lineRule="auto"/>
        <w:contextualSpacing/>
        <w:jc w:val="both"/>
        <w:rPr>
          <w:bCs/>
          <w:sz w:val="24"/>
          <w:szCs w:val="24"/>
        </w:rPr>
      </w:pPr>
      <w:r>
        <w:rPr>
          <w:bCs/>
          <w:sz w:val="24"/>
          <w:szCs w:val="24"/>
        </w:rPr>
        <w:t xml:space="preserve">2.6 Prova de </w:t>
      </w:r>
      <w:r>
        <w:rPr>
          <w:color w:val="000000"/>
          <w:sz w:val="24"/>
          <w:szCs w:val="24"/>
        </w:rPr>
        <w:t xml:space="preserve">inscrição no cadastro de contribuintes </w:t>
      </w:r>
      <w:r>
        <w:rPr>
          <w:sz w:val="24"/>
          <w:szCs w:val="24"/>
        </w:rPr>
        <w:t>estadual/distrital</w:t>
      </w:r>
      <w:r>
        <w:rPr>
          <w:color w:val="000000"/>
          <w:sz w:val="24"/>
          <w:szCs w:val="24"/>
        </w:rPr>
        <w:t>, relativo ao domicílio ou sede do fornecedor, pertinente ao seu ramo de atividade e compatível com o objeto contratual</w:t>
      </w:r>
      <w:r>
        <w:rPr>
          <w:bCs/>
          <w:sz w:val="24"/>
          <w:szCs w:val="24"/>
        </w:rPr>
        <w:t>.</w:t>
      </w:r>
    </w:p>
    <w:p w14:paraId="79D83316">
      <w:pPr>
        <w:tabs>
          <w:tab w:val="left" w:pos="1440"/>
        </w:tabs>
        <w:autoSpaceDE w:val="0"/>
        <w:snapToGrid w:val="0"/>
        <w:spacing w:line="288" w:lineRule="auto"/>
        <w:contextualSpacing/>
        <w:jc w:val="both"/>
        <w:rPr>
          <w:bCs/>
          <w:sz w:val="24"/>
          <w:szCs w:val="24"/>
        </w:rPr>
      </w:pPr>
    </w:p>
    <w:p w14:paraId="762CD690">
      <w:pPr>
        <w:tabs>
          <w:tab w:val="left" w:pos="1440"/>
        </w:tabs>
        <w:autoSpaceDE w:val="0"/>
        <w:snapToGrid w:val="0"/>
        <w:spacing w:line="288" w:lineRule="auto"/>
        <w:contextualSpacing/>
        <w:jc w:val="both"/>
        <w:rPr>
          <w:sz w:val="24"/>
          <w:szCs w:val="24"/>
          <w:lang w:eastAsia="en-US"/>
        </w:rPr>
      </w:pPr>
      <w:r>
        <w:rPr>
          <w:bCs/>
          <w:sz w:val="24"/>
          <w:szCs w:val="24"/>
        </w:rPr>
        <w:t xml:space="preserve">2.6.1 O fornecedor enquadrado como microempreendedor individual que pretenda auferir os benefícios do tratamento diferenciado previstos na </w:t>
      </w:r>
      <w:r>
        <w:fldChar w:fldCharType="begin"/>
      </w:r>
      <w:r>
        <w:instrText xml:space="preserve"> HYPERLINK "https://www.planalto.gov.br/ccivil_03/leis/lcp/lcp123.htm" </w:instrText>
      </w:r>
      <w:r>
        <w:fldChar w:fldCharType="separate"/>
      </w:r>
      <w:r>
        <w:rPr>
          <w:rStyle w:val="16"/>
          <w:rFonts w:eastAsiaTheme="minorHAnsi"/>
          <w:bCs/>
          <w:sz w:val="24"/>
          <w:szCs w:val="24"/>
        </w:rPr>
        <w:t>Lei Complementar nº 123/2006</w:t>
      </w:r>
      <w:r>
        <w:rPr>
          <w:rStyle w:val="16"/>
          <w:rFonts w:eastAsiaTheme="minorHAnsi"/>
          <w:bCs/>
          <w:sz w:val="24"/>
          <w:szCs w:val="24"/>
        </w:rPr>
        <w:fldChar w:fldCharType="end"/>
      </w:r>
      <w:r>
        <w:rPr>
          <w:bCs/>
          <w:sz w:val="24"/>
          <w:szCs w:val="24"/>
        </w:rPr>
        <w:t xml:space="preserve">, estará dispensado da prova de inscrição nos cadastros de contribuintes estadual e municipal, eis que a </w:t>
      </w:r>
      <w:r>
        <w:rPr>
          <w:sz w:val="24"/>
          <w:szCs w:val="24"/>
        </w:rPr>
        <w:t>apresentação do Certificado de Condição de Microempreendedor Individual – CCMEI supre tais requisitos.</w:t>
      </w:r>
    </w:p>
    <w:p w14:paraId="31305104">
      <w:pPr>
        <w:tabs>
          <w:tab w:val="left" w:pos="1440"/>
        </w:tabs>
        <w:autoSpaceDE w:val="0"/>
        <w:snapToGrid w:val="0"/>
        <w:spacing w:line="288" w:lineRule="auto"/>
        <w:contextualSpacing/>
        <w:jc w:val="both"/>
        <w:rPr>
          <w:sz w:val="24"/>
          <w:szCs w:val="24"/>
          <w:lang w:eastAsia="en-US"/>
        </w:rPr>
      </w:pPr>
    </w:p>
    <w:p w14:paraId="25A0E64A">
      <w:pPr>
        <w:tabs>
          <w:tab w:val="left" w:pos="1440"/>
        </w:tabs>
        <w:autoSpaceDE w:val="0"/>
        <w:snapToGrid w:val="0"/>
        <w:spacing w:line="288" w:lineRule="auto"/>
        <w:contextualSpacing/>
        <w:jc w:val="both"/>
        <w:rPr>
          <w:sz w:val="24"/>
          <w:szCs w:val="24"/>
        </w:rPr>
      </w:pPr>
      <w:r>
        <w:rPr>
          <w:sz w:val="24"/>
          <w:szCs w:val="24"/>
        </w:rPr>
        <w:t>2.7 Prova de regularidade com a Fazenda do Estado do Rio de Janeiro, mediante a apresentação de:</w:t>
      </w:r>
    </w:p>
    <w:p w14:paraId="28AF6493">
      <w:pPr>
        <w:tabs>
          <w:tab w:val="left" w:pos="1440"/>
        </w:tabs>
        <w:autoSpaceDE w:val="0"/>
        <w:snapToGrid w:val="0"/>
        <w:spacing w:line="288" w:lineRule="auto"/>
        <w:contextualSpacing/>
        <w:jc w:val="both"/>
        <w:rPr>
          <w:sz w:val="24"/>
          <w:szCs w:val="24"/>
        </w:rPr>
      </w:pPr>
    </w:p>
    <w:p w14:paraId="6BB21E03">
      <w:pPr>
        <w:tabs>
          <w:tab w:val="left" w:pos="1440"/>
        </w:tabs>
        <w:autoSpaceDE w:val="0"/>
        <w:snapToGrid w:val="0"/>
        <w:spacing w:line="288" w:lineRule="auto"/>
        <w:contextualSpacing/>
        <w:jc w:val="both"/>
        <w:rPr>
          <w:sz w:val="24"/>
          <w:szCs w:val="24"/>
          <w:lang w:eastAsia="en-US"/>
        </w:rPr>
      </w:pPr>
      <w:r>
        <w:rPr>
          <w:sz w:val="24"/>
          <w:szCs w:val="24"/>
        </w:rPr>
        <w:t xml:space="preserve">2.7.1 Certidão Negativa de Débitos, ou Certidão Positiva com efeito de Negativa, expedida pela Secretaria de Estado de Fazenda; e </w:t>
      </w:r>
    </w:p>
    <w:p w14:paraId="2B36454A">
      <w:pPr>
        <w:pStyle w:val="31"/>
        <w:spacing w:line="288" w:lineRule="auto"/>
        <w:ind w:firstLine="0"/>
        <w:contextualSpacing/>
        <w:rPr>
          <w:rFonts w:ascii="Times New Roman" w:hAnsi="Times New Roman"/>
          <w:szCs w:val="24"/>
        </w:rPr>
      </w:pPr>
    </w:p>
    <w:p w14:paraId="5C0CE672">
      <w:pPr>
        <w:pStyle w:val="31"/>
        <w:spacing w:line="288" w:lineRule="auto"/>
        <w:ind w:firstLine="0"/>
        <w:contextualSpacing/>
        <w:rPr>
          <w:rFonts w:ascii="Times New Roman" w:hAnsi="Times New Roman"/>
          <w:szCs w:val="24"/>
        </w:rPr>
      </w:pPr>
      <w:r>
        <w:rPr>
          <w:rFonts w:ascii="Times New Roman" w:hAnsi="Times New Roman"/>
          <w:szCs w:val="24"/>
        </w:rPr>
        <w:t>2.7.2 Certidão Negativa de Débitos em Dívida Ativa, ou Certidão Positiva com efeito de Negativa, para fins de participação em licitação, expedida pela Procuradoria Geral do Estado.</w:t>
      </w:r>
    </w:p>
    <w:p w14:paraId="75F196F3">
      <w:pPr>
        <w:tabs>
          <w:tab w:val="left" w:pos="1440"/>
        </w:tabs>
        <w:autoSpaceDE w:val="0"/>
        <w:snapToGrid w:val="0"/>
        <w:spacing w:line="288" w:lineRule="auto"/>
        <w:contextualSpacing/>
        <w:jc w:val="both"/>
        <w:rPr>
          <w:sz w:val="24"/>
          <w:szCs w:val="24"/>
        </w:rPr>
      </w:pPr>
    </w:p>
    <w:p w14:paraId="5038EBED">
      <w:pPr>
        <w:tabs>
          <w:tab w:val="left" w:pos="1440"/>
        </w:tabs>
        <w:autoSpaceDE w:val="0"/>
        <w:snapToGrid w:val="0"/>
        <w:spacing w:line="288" w:lineRule="auto"/>
        <w:contextualSpacing/>
        <w:jc w:val="both"/>
        <w:rPr>
          <w:sz w:val="24"/>
          <w:szCs w:val="24"/>
        </w:rPr>
      </w:pPr>
      <w:r>
        <w:rPr>
          <w:sz w:val="24"/>
          <w:szCs w:val="24"/>
        </w:rPr>
        <w:t>2.8 Regularidade com a Fazenda Estadual</w:t>
      </w:r>
      <w:r>
        <w:rPr>
          <w:color w:val="FF0000"/>
          <w:sz w:val="24"/>
          <w:szCs w:val="24"/>
        </w:rPr>
        <w:t xml:space="preserve"> </w:t>
      </w:r>
      <w:r>
        <w:rPr>
          <w:sz w:val="24"/>
          <w:szCs w:val="24"/>
        </w:rPr>
        <w:t xml:space="preserve">do domicílio ou sede do fornecedor, relativa à atividade em cujo exercício contrata ou concorre, com a apresentação de Certidão Negativa de Débitos, ou Certidão Positiva com efeito de Negativa, perante o Fisco estadual, pertinente ao Imposto sobre Operações relativas à Circulação de Mercadorias e sobre Prestações de Serviços de Transporte Interestadual, Intermunicipal e de Comunicação – ICMS, bem como de Certidão perante a Dívida Ativa estadual, podendo ser apresentada Certidão Conjunta em que constem ambas as informações. </w:t>
      </w:r>
    </w:p>
    <w:p w14:paraId="32BFC27C">
      <w:pPr>
        <w:tabs>
          <w:tab w:val="left" w:pos="1440"/>
        </w:tabs>
        <w:autoSpaceDE w:val="0"/>
        <w:snapToGrid w:val="0"/>
        <w:spacing w:line="288" w:lineRule="auto"/>
        <w:contextualSpacing/>
        <w:jc w:val="both"/>
        <w:rPr>
          <w:sz w:val="24"/>
          <w:szCs w:val="24"/>
        </w:rPr>
      </w:pPr>
    </w:p>
    <w:p w14:paraId="0194CB4B">
      <w:pPr>
        <w:spacing w:line="288" w:lineRule="auto"/>
        <w:contextualSpacing/>
        <w:jc w:val="both"/>
        <w:rPr>
          <w:sz w:val="24"/>
          <w:szCs w:val="24"/>
        </w:rPr>
      </w:pPr>
      <w:r>
        <w:rPr>
          <w:sz w:val="24"/>
          <w:szCs w:val="24"/>
        </w:rPr>
        <w:t xml:space="preserve">2.9 Caso o fornecedor seja considerado isento dos tributos </w:t>
      </w:r>
      <w:r>
        <w:rPr>
          <w:iCs/>
          <w:sz w:val="24"/>
          <w:szCs w:val="24"/>
        </w:rPr>
        <w:t>estaduais</w:t>
      </w:r>
      <w:r>
        <w:rPr>
          <w:color w:val="FF0000"/>
          <w:sz w:val="24"/>
          <w:szCs w:val="24"/>
        </w:rPr>
        <w:t xml:space="preserve"> </w:t>
      </w:r>
      <w:r>
        <w:rPr>
          <w:sz w:val="24"/>
          <w:szCs w:val="24"/>
        </w:rPr>
        <w:t>relacionados ao objeto contratual, deverá comprovar tal condição mediante a apresentação de declaração da Fazenda respectiva do seu domicílio ou sede, ou outra equivalente, na forma da lei.</w:t>
      </w:r>
    </w:p>
    <w:p w14:paraId="4447B138">
      <w:pPr>
        <w:spacing w:line="288" w:lineRule="auto"/>
        <w:contextualSpacing/>
        <w:rPr>
          <w:sz w:val="24"/>
          <w:szCs w:val="24"/>
        </w:rPr>
      </w:pPr>
    </w:p>
    <w:p w14:paraId="0D669B4C">
      <w:pPr>
        <w:pStyle w:val="36"/>
        <w:spacing w:after="0" w:line="288" w:lineRule="auto"/>
        <w:ind w:left="0"/>
        <w:contextualSpacing/>
        <w:jc w:val="both"/>
        <w:rPr>
          <w:rFonts w:ascii="Times New Roman" w:hAnsi="Times New Roman" w:cs="Times New Roman"/>
          <w:sz w:val="24"/>
          <w:szCs w:val="24"/>
        </w:rPr>
      </w:pPr>
      <w:bookmarkStart w:id="39" w:name="_Hlk178775808"/>
      <w:r>
        <w:rPr>
          <w:rFonts w:ascii="Times New Roman" w:hAnsi="Times New Roman" w:cs="Times New Roman"/>
          <w:bCs/>
          <w:sz w:val="24"/>
          <w:szCs w:val="24"/>
        </w:rPr>
        <w:t>2.10</w:t>
      </w:r>
      <w:r>
        <w:rPr>
          <w:rFonts w:ascii="Times New Roman" w:hAnsi="Times New Roman" w:cs="Times New Roman"/>
          <w:b/>
          <w:sz w:val="24"/>
          <w:szCs w:val="24"/>
        </w:rPr>
        <w:t xml:space="preserve"> </w:t>
      </w:r>
      <w:r>
        <w:rPr>
          <w:rFonts w:ascii="Times New Roman" w:hAnsi="Times New Roman" w:cs="Times New Roman"/>
          <w:sz w:val="24"/>
          <w:szCs w:val="24"/>
        </w:rPr>
        <w:t>Na hipótese de cuidar-se de microempresa ou de empresa de pequeno porte, na forma do art. 42 da Lei Complementar nº 123/2006, a documentação somente será exigida para efeito de assinatura do contrato, caso se sagre vencedora no certame.</w:t>
      </w:r>
    </w:p>
    <w:p w14:paraId="34606B68">
      <w:pPr>
        <w:spacing w:line="288" w:lineRule="auto"/>
        <w:contextualSpacing/>
        <w:jc w:val="both"/>
        <w:rPr>
          <w:sz w:val="24"/>
          <w:szCs w:val="24"/>
        </w:rPr>
      </w:pPr>
    </w:p>
    <w:p w14:paraId="7205427B">
      <w:pPr>
        <w:spacing w:line="288" w:lineRule="auto"/>
        <w:contextualSpacing/>
        <w:jc w:val="both"/>
        <w:rPr>
          <w:sz w:val="24"/>
          <w:szCs w:val="24"/>
        </w:rPr>
      </w:pPr>
      <w:r>
        <w:rPr>
          <w:sz w:val="24"/>
          <w:szCs w:val="24"/>
        </w:rPr>
        <w:t xml:space="preserve">2.10.1 Em sendo declarada vencedora do certame microempresa ou empresa de pequeno porte com débitos fiscais e trabalhistas, ficará assegurado, a partir de então, o prazo de 5 (cinco) dias úteis para a regularização da documentação, pagamento ou parcelamento do débito, e emissão de eventuais certidões negativas ou positivas com efeito de negativas, na forma do art. 43, § 1º, da Lei Complementar nº 123/2006. </w:t>
      </w:r>
    </w:p>
    <w:bookmarkEnd w:id="39"/>
    <w:p w14:paraId="4ED45062">
      <w:pPr>
        <w:spacing w:line="288" w:lineRule="auto"/>
        <w:contextualSpacing/>
        <w:jc w:val="both"/>
        <w:rPr>
          <w:sz w:val="24"/>
          <w:szCs w:val="24"/>
        </w:rPr>
      </w:pPr>
    </w:p>
    <w:p w14:paraId="421CA86D">
      <w:pPr>
        <w:spacing w:line="288" w:lineRule="auto"/>
        <w:contextualSpacing/>
        <w:jc w:val="both"/>
        <w:rPr>
          <w:sz w:val="24"/>
          <w:szCs w:val="24"/>
        </w:rPr>
      </w:pPr>
      <w:r>
        <w:rPr>
          <w:sz w:val="24"/>
          <w:szCs w:val="24"/>
        </w:rPr>
        <w:t>2.10.2 O prazo acima poderá ser prorrogado por igual período, a critério exclusivo da Administração Pública.</w:t>
      </w:r>
    </w:p>
    <w:p w14:paraId="60763BDB">
      <w:pPr>
        <w:spacing w:line="288" w:lineRule="auto"/>
        <w:contextualSpacing/>
        <w:jc w:val="both"/>
        <w:rPr>
          <w:bCs/>
          <w:sz w:val="24"/>
          <w:szCs w:val="24"/>
        </w:rPr>
      </w:pPr>
    </w:p>
    <w:p w14:paraId="32E32DBB">
      <w:pPr>
        <w:spacing w:line="288" w:lineRule="auto"/>
        <w:contextualSpacing/>
        <w:jc w:val="both"/>
        <w:rPr>
          <w:sz w:val="24"/>
          <w:szCs w:val="24"/>
        </w:rPr>
      </w:pPr>
      <w:bookmarkStart w:id="40" w:name="_Hlk178775828"/>
      <w:r>
        <w:rPr>
          <w:bCs/>
          <w:sz w:val="24"/>
          <w:szCs w:val="24"/>
        </w:rPr>
        <w:t xml:space="preserve">2.10.3 </w:t>
      </w:r>
      <w:r>
        <w:rPr>
          <w:sz w:val="24"/>
          <w:szCs w:val="24"/>
        </w:rPr>
        <w:t xml:space="preserve">A não regularização da documentação no prazo estipulado implicará a decadência do direito à contratação, na forma do § 2º do art. 43 da Lei Complementar nº 123/2006, sem prejuízo da aplicação das sanções previstas neste Edital. </w:t>
      </w:r>
    </w:p>
    <w:bookmarkEnd w:id="40"/>
    <w:p w14:paraId="505E2B5C">
      <w:pPr>
        <w:spacing w:before="288" w:beforeLines="120" w:after="288" w:afterLines="120" w:line="288" w:lineRule="auto"/>
        <w:contextualSpacing/>
        <w:jc w:val="center"/>
        <w:rPr>
          <w:rFonts w:eastAsia="MS Mincho"/>
          <w:b/>
          <w:color w:val="FF0000"/>
          <w:sz w:val="24"/>
          <w:szCs w:val="24"/>
        </w:rPr>
      </w:pPr>
    </w:p>
    <w:p w14:paraId="47B24CC0">
      <w:pPr>
        <w:spacing w:line="288" w:lineRule="auto"/>
        <w:jc w:val="both"/>
        <w:rPr>
          <w:sz w:val="24"/>
          <w:szCs w:val="24"/>
        </w:rPr>
      </w:pPr>
      <w:r>
        <w:rPr>
          <w:b/>
          <w:bCs/>
          <w:sz w:val="24"/>
          <w:szCs w:val="24"/>
        </w:rPr>
        <w:t xml:space="preserve">3. HABILITAÇÃO </w:t>
      </w:r>
      <w:r>
        <w:rPr>
          <w:b/>
          <w:bCs/>
          <w:color w:val="000000"/>
          <w:sz w:val="24"/>
          <w:szCs w:val="24"/>
        </w:rPr>
        <w:t xml:space="preserve">ECONÔMICO-FINANCEIRA: </w:t>
      </w:r>
    </w:p>
    <w:p w14:paraId="1E3743E9">
      <w:pPr>
        <w:spacing w:line="288" w:lineRule="auto"/>
        <w:jc w:val="both"/>
        <w:rPr>
          <w:sz w:val="24"/>
          <w:szCs w:val="24"/>
        </w:rPr>
      </w:pPr>
    </w:p>
    <w:p w14:paraId="4934F32C">
      <w:pPr>
        <w:spacing w:line="288" w:lineRule="auto"/>
        <w:jc w:val="both"/>
        <w:rPr>
          <w:sz w:val="24"/>
          <w:szCs w:val="24"/>
        </w:rPr>
      </w:pPr>
      <w:r>
        <w:rPr>
          <w:sz w:val="24"/>
          <w:szCs w:val="24"/>
        </w:rPr>
        <w:t>3.1 Certidão negativa de falência expedida pelo distribuidor da sede do fornecedor, caso se trate de pessoa jurídica, ou certidão negativa de insolvência civil expedida pelo distribuidor do domicílio ou sede do fornecedor, caso se trate de pessoa física</w:t>
      </w:r>
      <w:r>
        <w:fldChar w:fldCharType="begin"/>
      </w:r>
      <w:r>
        <w:instrText xml:space="preserve"> HYPERLINK "https://in.gov.br/en/web/dou/-/instrucao-normativa-seges/me-n-116-de-21-de-dezembro-de-2021-370926958" \l "art5" \h </w:instrText>
      </w:r>
      <w:r>
        <w:fldChar w:fldCharType="separate"/>
      </w:r>
      <w:r>
        <w:rPr>
          <w:sz w:val="24"/>
          <w:szCs w:val="24"/>
        </w:rPr>
        <w:t xml:space="preserve"> </w:t>
      </w:r>
      <w:r>
        <w:rPr>
          <w:sz w:val="24"/>
          <w:szCs w:val="24"/>
        </w:rPr>
        <w:fldChar w:fldCharType="end"/>
      </w:r>
      <w:r>
        <w:rPr>
          <w:sz w:val="24"/>
          <w:szCs w:val="24"/>
        </w:rPr>
        <w:t xml:space="preserve"> ou de sociedade simples.</w:t>
      </w:r>
    </w:p>
    <w:p w14:paraId="0F61BB4D">
      <w:pPr>
        <w:spacing w:line="288" w:lineRule="auto"/>
        <w:jc w:val="both"/>
        <w:rPr>
          <w:sz w:val="24"/>
          <w:szCs w:val="24"/>
        </w:rPr>
      </w:pPr>
    </w:p>
    <w:p w14:paraId="335B240F">
      <w:pPr>
        <w:spacing w:line="288" w:lineRule="auto"/>
        <w:jc w:val="both"/>
        <w:rPr>
          <w:sz w:val="24"/>
          <w:szCs w:val="24"/>
        </w:rPr>
      </w:pPr>
      <w:bookmarkStart w:id="41" w:name="_Hlk154232471"/>
      <w:r>
        <w:rPr>
          <w:sz w:val="24"/>
          <w:szCs w:val="24"/>
        </w:rPr>
        <w:t>3.1.1 Não será causa de inabilitação do licitante a anotação de distribuição de processo de recuperação judicial ou de pedido de homologação de recuperação extrajudicial.</w:t>
      </w:r>
    </w:p>
    <w:p w14:paraId="4A8317EF">
      <w:pPr>
        <w:spacing w:line="288" w:lineRule="auto"/>
        <w:jc w:val="both"/>
        <w:rPr>
          <w:sz w:val="24"/>
          <w:szCs w:val="24"/>
        </w:rPr>
      </w:pPr>
    </w:p>
    <w:bookmarkEnd w:id="41"/>
    <w:p w14:paraId="223A066A">
      <w:pPr>
        <w:tabs>
          <w:tab w:val="left" w:pos="1440"/>
        </w:tabs>
        <w:autoSpaceDE w:val="0"/>
        <w:snapToGrid w:val="0"/>
        <w:spacing w:line="288" w:lineRule="auto"/>
        <w:ind w:right="565"/>
        <w:jc w:val="both"/>
        <w:rPr>
          <w:color w:val="000000" w:themeColor="text1"/>
          <w:sz w:val="24"/>
          <w:szCs w:val="24"/>
          <w14:textFill>
            <w14:solidFill>
              <w14:schemeClr w14:val="tx1"/>
            </w14:solidFill>
          </w14:textFill>
        </w:rPr>
      </w:pPr>
    </w:p>
    <w:p w14:paraId="2714DB23">
      <w:pPr>
        <w:tabs>
          <w:tab w:val="left" w:pos="1440"/>
        </w:tabs>
        <w:autoSpaceDE w:val="0"/>
        <w:snapToGrid w:val="0"/>
        <w:spacing w:line="288" w:lineRule="auto"/>
        <w:ind w:right="565"/>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3.2 Balanço patrimonial, demonstração de resultado de exercício e demais demonstrações contábeis dos 2 (dois) últimos exercícios sociais, vedada a sua substituição por balancetes ou balanços provisórios.</w:t>
      </w:r>
    </w:p>
    <w:p w14:paraId="6627A441">
      <w:pPr>
        <w:tabs>
          <w:tab w:val="left" w:pos="1440"/>
        </w:tabs>
        <w:autoSpaceDE w:val="0"/>
        <w:snapToGrid w:val="0"/>
        <w:spacing w:line="288" w:lineRule="auto"/>
        <w:ind w:right="565"/>
        <w:jc w:val="both"/>
        <w:rPr>
          <w:color w:val="000000" w:themeColor="text1"/>
          <w:sz w:val="24"/>
          <w:szCs w:val="24"/>
          <w14:textFill>
            <w14:solidFill>
              <w14:schemeClr w14:val="tx1"/>
            </w14:solidFill>
          </w14:textFill>
        </w:rPr>
      </w:pPr>
    </w:p>
    <w:p w14:paraId="19D549F3">
      <w:pPr>
        <w:tabs>
          <w:tab w:val="left" w:pos="1440"/>
        </w:tabs>
        <w:autoSpaceDE w:val="0"/>
        <w:snapToGrid w:val="0"/>
        <w:spacing w:line="288" w:lineRule="auto"/>
        <w:ind w:right="565"/>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3.2.1 Os documentos referidos acima limitar-se-ão ao último exercício social no caso de a pessoa jurídica ter sido constituída há menos de 2 (dois) anos.</w:t>
      </w:r>
    </w:p>
    <w:p w14:paraId="2682BE2E">
      <w:pPr>
        <w:tabs>
          <w:tab w:val="left" w:pos="1440"/>
        </w:tabs>
        <w:autoSpaceDE w:val="0"/>
        <w:snapToGrid w:val="0"/>
        <w:spacing w:line="288" w:lineRule="auto"/>
        <w:ind w:right="565"/>
        <w:jc w:val="both"/>
        <w:rPr>
          <w:color w:val="000000" w:themeColor="text1"/>
          <w:sz w:val="24"/>
          <w:szCs w:val="24"/>
          <w14:textFill>
            <w14:solidFill>
              <w14:schemeClr w14:val="tx1"/>
            </w14:solidFill>
          </w14:textFill>
        </w:rPr>
      </w:pPr>
    </w:p>
    <w:p w14:paraId="00C6A875">
      <w:pPr>
        <w:tabs>
          <w:tab w:val="left" w:pos="1440"/>
        </w:tabs>
        <w:autoSpaceDE w:val="0"/>
        <w:snapToGrid w:val="0"/>
        <w:spacing w:line="288" w:lineRule="auto"/>
        <w:ind w:right="565"/>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3.2.2 Os fornecedores criados no exercício financeiro da contratação deverão atender a todas as exigências da habilitação e ficam autorizados a substituir os demonstrativos contábeis pelo balanço de abertura;</w:t>
      </w:r>
    </w:p>
    <w:p w14:paraId="60393764">
      <w:pPr>
        <w:spacing w:line="288" w:lineRule="auto"/>
        <w:ind w:right="565"/>
        <w:jc w:val="both"/>
        <w:rPr>
          <w:color w:val="000000" w:themeColor="text1"/>
          <w:sz w:val="24"/>
          <w:szCs w:val="24"/>
          <w14:textFill>
            <w14:solidFill>
              <w14:schemeClr w14:val="tx1"/>
            </w14:solidFill>
          </w14:textFill>
        </w:rPr>
      </w:pPr>
    </w:p>
    <w:p w14:paraId="0E0EDB96">
      <w:pPr>
        <w:spacing w:line="288" w:lineRule="auto"/>
        <w:ind w:right="565"/>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3.2.2.1</w:t>
      </w:r>
      <w:r>
        <w:rPr>
          <w:rFonts w:eastAsia="Arial"/>
          <w:color w:val="000000" w:themeColor="text1"/>
          <w:sz w:val="24"/>
          <w:szCs w:val="24"/>
          <w14:textFill>
            <w14:solidFill>
              <w14:schemeClr w14:val="tx1"/>
            </w14:solidFill>
          </w14:textFill>
        </w:rPr>
        <w:t xml:space="preserve"> Poderá ser apresentado o balanço intermediário, caso autorizado por lei ou pelo contrato/estatuto social.</w:t>
      </w:r>
    </w:p>
    <w:p w14:paraId="6B0AC9C7">
      <w:pPr>
        <w:spacing w:line="288" w:lineRule="auto"/>
        <w:ind w:right="565"/>
        <w:jc w:val="both"/>
        <w:rPr>
          <w:color w:val="000000" w:themeColor="text1"/>
          <w:sz w:val="24"/>
          <w:szCs w:val="24"/>
          <w14:textFill>
            <w14:solidFill>
              <w14:schemeClr w14:val="tx1"/>
            </w14:solidFill>
          </w14:textFill>
        </w:rPr>
      </w:pPr>
    </w:p>
    <w:p w14:paraId="17EBD1A7">
      <w:pPr>
        <w:tabs>
          <w:tab w:val="left" w:pos="1440"/>
        </w:tabs>
        <w:autoSpaceDE w:val="0"/>
        <w:snapToGrid w:val="0"/>
        <w:spacing w:line="288" w:lineRule="auto"/>
        <w:ind w:right="565"/>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3.2.3 Para fins de habilitação econômico-financeira de sociedade empresária em recuperação judicial deverão ser considerados os valores constantes no Plano de Recuperação Judicial, homologado pelo Juízo competente, para fins de apuração dos índices contábeis previstos no edital.</w:t>
      </w:r>
    </w:p>
    <w:p w14:paraId="4CD6BEF8">
      <w:pPr>
        <w:tabs>
          <w:tab w:val="left" w:pos="1440"/>
        </w:tabs>
        <w:autoSpaceDE w:val="0"/>
        <w:snapToGrid w:val="0"/>
        <w:spacing w:line="288" w:lineRule="auto"/>
        <w:ind w:right="565"/>
        <w:jc w:val="both"/>
        <w:rPr>
          <w:color w:val="000000" w:themeColor="text1"/>
          <w:sz w:val="24"/>
          <w:szCs w:val="24"/>
          <w14:textFill>
            <w14:solidFill>
              <w14:schemeClr w14:val="tx1"/>
            </w14:solidFill>
          </w14:textFill>
        </w:rPr>
      </w:pPr>
    </w:p>
    <w:p w14:paraId="65691EFC">
      <w:pPr>
        <w:tabs>
          <w:tab w:val="left" w:pos="1440"/>
        </w:tabs>
        <w:autoSpaceDE w:val="0"/>
        <w:snapToGrid w:val="0"/>
        <w:spacing w:line="288" w:lineRule="auto"/>
        <w:ind w:right="565"/>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xml:space="preserve">3.3 Comprovação da boa situação financeira da empresa mediante obtenção de índices de Liquidez Geral (LG), Solvência Geral (SG) e Liquidez Corrente (LC), iguais ou superiores a 1 (um), obtidos pela aplicação das seguintes fórmulas: </w:t>
      </w:r>
    </w:p>
    <w:p w14:paraId="0CD6A329">
      <w:pPr>
        <w:tabs>
          <w:tab w:val="left" w:pos="1440"/>
        </w:tabs>
        <w:autoSpaceDE w:val="0"/>
        <w:snapToGrid w:val="0"/>
        <w:spacing w:line="288" w:lineRule="auto"/>
        <w:ind w:right="565"/>
        <w:jc w:val="both"/>
        <w:rPr>
          <w:color w:val="000000" w:themeColor="text1"/>
          <w:sz w:val="24"/>
          <w:szCs w:val="24"/>
          <w14:textFill>
            <w14:solidFill>
              <w14:schemeClr w14:val="tx1"/>
            </w14:solidFill>
          </w14:textFill>
        </w:rPr>
      </w:pPr>
    </w:p>
    <w:tbl>
      <w:tblPr>
        <w:tblStyle w:val="10"/>
        <w:tblW w:w="0" w:type="auto"/>
        <w:tblInd w:w="1134" w:type="dxa"/>
        <w:tblLayout w:type="autofit"/>
        <w:tblCellMar>
          <w:top w:w="0" w:type="dxa"/>
          <w:left w:w="108" w:type="dxa"/>
          <w:bottom w:w="0" w:type="dxa"/>
          <w:right w:w="108" w:type="dxa"/>
        </w:tblCellMar>
      </w:tblPr>
      <w:tblGrid>
        <w:gridCol w:w="2235"/>
        <w:gridCol w:w="4252"/>
      </w:tblGrid>
      <w:tr w14:paraId="1200FA83">
        <w:tc>
          <w:tcPr>
            <w:tcW w:w="2235" w:type="dxa"/>
            <w:vMerge w:val="restart"/>
            <w:shd w:val="clear" w:color="auto" w:fill="auto"/>
            <w:vAlign w:val="center"/>
          </w:tcPr>
          <w:p w14:paraId="213E07CE">
            <w:pPr>
              <w:tabs>
                <w:tab w:val="left" w:pos="1440"/>
              </w:tabs>
              <w:autoSpaceDE w:val="0"/>
              <w:snapToGrid w:val="0"/>
              <w:spacing w:line="288" w:lineRule="auto"/>
              <w:ind w:right="565"/>
              <w:jc w:val="both"/>
              <w:rPr>
                <w:rFonts w:eastAsia="Calibri"/>
                <w:color w:val="000000" w:themeColor="text1"/>
                <w:sz w:val="24"/>
                <w:szCs w:val="24"/>
                <w14:textFill>
                  <w14:solidFill>
                    <w14:schemeClr w14:val="tx1"/>
                  </w14:solidFill>
                </w14:textFill>
              </w:rPr>
            </w:pPr>
            <w:r>
              <w:rPr>
                <w:rFonts w:eastAsia="Calibri"/>
                <w:color w:val="000000" w:themeColor="text1"/>
                <w:sz w:val="24"/>
                <w:szCs w:val="24"/>
                <w14:textFill>
                  <w14:solidFill>
                    <w14:schemeClr w14:val="tx1"/>
                  </w14:solidFill>
                </w14:textFill>
              </w:rPr>
              <w:t>LG =</w:t>
            </w:r>
          </w:p>
        </w:tc>
        <w:tc>
          <w:tcPr>
            <w:tcW w:w="4252" w:type="dxa"/>
            <w:tcBorders>
              <w:bottom w:val="single" w:color="auto" w:sz="4" w:space="0"/>
            </w:tcBorders>
            <w:shd w:val="clear" w:color="auto" w:fill="auto"/>
            <w:vAlign w:val="bottom"/>
          </w:tcPr>
          <w:p w14:paraId="63BE2E3E">
            <w:pPr>
              <w:tabs>
                <w:tab w:val="left" w:pos="1440"/>
              </w:tabs>
              <w:autoSpaceDE w:val="0"/>
              <w:snapToGrid w:val="0"/>
              <w:spacing w:line="288" w:lineRule="auto"/>
              <w:ind w:right="565"/>
              <w:jc w:val="both"/>
              <w:rPr>
                <w:rFonts w:eastAsia="Calibri"/>
                <w:color w:val="000000" w:themeColor="text1"/>
                <w:sz w:val="24"/>
                <w:szCs w:val="24"/>
                <w14:textFill>
                  <w14:solidFill>
                    <w14:schemeClr w14:val="tx1"/>
                  </w14:solidFill>
                </w14:textFill>
              </w:rPr>
            </w:pPr>
            <w:r>
              <w:rPr>
                <w:rFonts w:eastAsia="Calibri"/>
                <w:color w:val="000000" w:themeColor="text1"/>
                <w:sz w:val="24"/>
                <w:szCs w:val="24"/>
                <w14:textFill>
                  <w14:solidFill>
                    <w14:schemeClr w14:val="tx1"/>
                  </w14:solidFill>
                </w14:textFill>
              </w:rPr>
              <w:t>Ativo Circulante + Realizável a Longo Prazo</w:t>
            </w:r>
          </w:p>
        </w:tc>
      </w:tr>
      <w:tr w14:paraId="38538E67">
        <w:tblPrEx>
          <w:tblCellMar>
            <w:top w:w="0" w:type="dxa"/>
            <w:left w:w="108" w:type="dxa"/>
            <w:bottom w:w="0" w:type="dxa"/>
            <w:right w:w="108" w:type="dxa"/>
          </w:tblCellMar>
        </w:tblPrEx>
        <w:tc>
          <w:tcPr>
            <w:tcW w:w="2235" w:type="dxa"/>
            <w:vMerge w:val="continue"/>
            <w:shd w:val="clear" w:color="auto" w:fill="auto"/>
          </w:tcPr>
          <w:p w14:paraId="4A971BFA">
            <w:pPr>
              <w:tabs>
                <w:tab w:val="left" w:pos="1440"/>
              </w:tabs>
              <w:autoSpaceDE w:val="0"/>
              <w:snapToGrid w:val="0"/>
              <w:spacing w:line="288" w:lineRule="auto"/>
              <w:ind w:right="565"/>
              <w:jc w:val="both"/>
              <w:rPr>
                <w:rFonts w:eastAsia="Calibri"/>
                <w:color w:val="000000" w:themeColor="text1"/>
                <w:sz w:val="24"/>
                <w:szCs w:val="24"/>
                <w14:textFill>
                  <w14:solidFill>
                    <w14:schemeClr w14:val="tx1"/>
                  </w14:solidFill>
                </w14:textFill>
              </w:rPr>
            </w:pPr>
          </w:p>
        </w:tc>
        <w:tc>
          <w:tcPr>
            <w:tcW w:w="4252" w:type="dxa"/>
            <w:tcBorders>
              <w:top w:val="single" w:color="auto" w:sz="4" w:space="0"/>
            </w:tcBorders>
            <w:shd w:val="clear" w:color="auto" w:fill="auto"/>
          </w:tcPr>
          <w:p w14:paraId="22191BFD">
            <w:pPr>
              <w:tabs>
                <w:tab w:val="left" w:pos="1440"/>
              </w:tabs>
              <w:autoSpaceDE w:val="0"/>
              <w:snapToGrid w:val="0"/>
              <w:spacing w:before="100" w:beforeAutospacing="1" w:after="100" w:afterAutospacing="1" w:line="288" w:lineRule="auto"/>
              <w:ind w:right="565"/>
              <w:jc w:val="both"/>
              <w:rPr>
                <w:rFonts w:eastAsia="Calibri"/>
                <w:color w:val="000000" w:themeColor="text1"/>
                <w:sz w:val="24"/>
                <w:szCs w:val="24"/>
                <w14:textFill>
                  <w14:solidFill>
                    <w14:schemeClr w14:val="tx1"/>
                  </w14:solidFill>
                </w14:textFill>
              </w:rPr>
            </w:pPr>
            <w:r>
              <w:rPr>
                <w:rFonts w:eastAsia="Calibri"/>
                <w:color w:val="000000" w:themeColor="text1"/>
                <w:sz w:val="24"/>
                <w:szCs w:val="24"/>
                <w14:textFill>
                  <w14:solidFill>
                    <w14:schemeClr w14:val="tx1"/>
                  </w14:solidFill>
                </w14:textFill>
              </w:rPr>
              <w:t>Passivo Circulante + Passivo Não Circulante</w:t>
            </w:r>
          </w:p>
        </w:tc>
      </w:tr>
    </w:tbl>
    <w:p w14:paraId="788AE8EB">
      <w:pPr>
        <w:tabs>
          <w:tab w:val="left" w:pos="1440"/>
        </w:tabs>
        <w:autoSpaceDE w:val="0"/>
        <w:snapToGrid w:val="0"/>
        <w:spacing w:line="288" w:lineRule="auto"/>
        <w:ind w:right="565"/>
        <w:jc w:val="both"/>
        <w:rPr>
          <w:color w:val="000000" w:themeColor="text1"/>
          <w:sz w:val="24"/>
          <w:szCs w:val="24"/>
          <w14:textFill>
            <w14:solidFill>
              <w14:schemeClr w14:val="tx1"/>
            </w14:solidFill>
          </w14:textFill>
        </w:rPr>
      </w:pPr>
    </w:p>
    <w:tbl>
      <w:tblPr>
        <w:tblStyle w:val="10"/>
        <w:tblW w:w="0" w:type="auto"/>
        <w:tblInd w:w="1134" w:type="dxa"/>
        <w:tblLayout w:type="autofit"/>
        <w:tblCellMar>
          <w:top w:w="0" w:type="dxa"/>
          <w:left w:w="108" w:type="dxa"/>
          <w:bottom w:w="0" w:type="dxa"/>
          <w:right w:w="108" w:type="dxa"/>
        </w:tblCellMar>
      </w:tblPr>
      <w:tblGrid>
        <w:gridCol w:w="2235"/>
        <w:gridCol w:w="4394"/>
      </w:tblGrid>
      <w:tr w14:paraId="742C71EA">
        <w:tblPrEx>
          <w:tblCellMar>
            <w:top w:w="0" w:type="dxa"/>
            <w:left w:w="108" w:type="dxa"/>
            <w:bottom w:w="0" w:type="dxa"/>
            <w:right w:w="108" w:type="dxa"/>
          </w:tblCellMar>
        </w:tblPrEx>
        <w:trPr>
          <w:cantSplit/>
        </w:trPr>
        <w:tc>
          <w:tcPr>
            <w:tcW w:w="2235" w:type="dxa"/>
            <w:vMerge w:val="restart"/>
            <w:shd w:val="clear" w:color="auto" w:fill="auto"/>
            <w:vAlign w:val="center"/>
          </w:tcPr>
          <w:p w14:paraId="041687F8">
            <w:pPr>
              <w:tabs>
                <w:tab w:val="left" w:pos="1440"/>
              </w:tabs>
              <w:autoSpaceDE w:val="0"/>
              <w:snapToGrid w:val="0"/>
              <w:spacing w:line="288" w:lineRule="auto"/>
              <w:ind w:right="565"/>
              <w:jc w:val="both"/>
              <w:rPr>
                <w:rFonts w:eastAsia="Calibri"/>
                <w:color w:val="000000" w:themeColor="text1"/>
                <w:sz w:val="24"/>
                <w:szCs w:val="24"/>
                <w14:textFill>
                  <w14:solidFill>
                    <w14:schemeClr w14:val="tx1"/>
                  </w14:solidFill>
                </w14:textFill>
              </w:rPr>
            </w:pPr>
            <w:r>
              <w:rPr>
                <w:rFonts w:eastAsia="Calibri"/>
                <w:color w:val="000000" w:themeColor="text1"/>
                <w:sz w:val="24"/>
                <w:szCs w:val="24"/>
                <w14:textFill>
                  <w14:solidFill>
                    <w14:schemeClr w14:val="tx1"/>
                  </w14:solidFill>
                </w14:textFill>
              </w:rPr>
              <w:t>SG =</w:t>
            </w:r>
          </w:p>
        </w:tc>
        <w:tc>
          <w:tcPr>
            <w:tcW w:w="4394" w:type="dxa"/>
            <w:tcBorders>
              <w:bottom w:val="single" w:color="auto" w:sz="4" w:space="0"/>
            </w:tcBorders>
            <w:shd w:val="clear" w:color="auto" w:fill="auto"/>
            <w:vAlign w:val="bottom"/>
          </w:tcPr>
          <w:p w14:paraId="6F6AEDA9">
            <w:pPr>
              <w:tabs>
                <w:tab w:val="left" w:pos="1440"/>
              </w:tabs>
              <w:autoSpaceDE w:val="0"/>
              <w:snapToGrid w:val="0"/>
              <w:spacing w:line="288" w:lineRule="auto"/>
              <w:ind w:right="565"/>
              <w:jc w:val="both"/>
              <w:rPr>
                <w:rFonts w:eastAsia="Calibri"/>
                <w:color w:val="000000" w:themeColor="text1"/>
                <w:sz w:val="24"/>
                <w:szCs w:val="24"/>
                <w14:textFill>
                  <w14:solidFill>
                    <w14:schemeClr w14:val="tx1"/>
                  </w14:solidFill>
                </w14:textFill>
              </w:rPr>
            </w:pPr>
            <w:r>
              <w:rPr>
                <w:rFonts w:eastAsia="Calibri"/>
                <w:color w:val="000000" w:themeColor="text1"/>
                <w:sz w:val="24"/>
                <w:szCs w:val="24"/>
                <w14:textFill>
                  <w14:solidFill>
                    <w14:schemeClr w14:val="tx1"/>
                  </w14:solidFill>
                </w14:textFill>
              </w:rPr>
              <w:t>Ativo Total</w:t>
            </w:r>
          </w:p>
        </w:tc>
      </w:tr>
      <w:tr w14:paraId="44B7D4A3">
        <w:tblPrEx>
          <w:tblCellMar>
            <w:top w:w="0" w:type="dxa"/>
            <w:left w:w="108" w:type="dxa"/>
            <w:bottom w:w="0" w:type="dxa"/>
            <w:right w:w="108" w:type="dxa"/>
          </w:tblCellMar>
        </w:tblPrEx>
        <w:trPr>
          <w:cantSplit/>
        </w:trPr>
        <w:tc>
          <w:tcPr>
            <w:tcW w:w="2235" w:type="dxa"/>
            <w:vMerge w:val="continue"/>
            <w:shd w:val="clear" w:color="auto" w:fill="auto"/>
          </w:tcPr>
          <w:p w14:paraId="681B1238">
            <w:pPr>
              <w:tabs>
                <w:tab w:val="left" w:pos="1440"/>
              </w:tabs>
              <w:autoSpaceDE w:val="0"/>
              <w:snapToGrid w:val="0"/>
              <w:spacing w:line="288" w:lineRule="auto"/>
              <w:ind w:right="565"/>
              <w:jc w:val="both"/>
              <w:rPr>
                <w:rFonts w:eastAsia="Calibri"/>
                <w:color w:val="000000" w:themeColor="text1"/>
                <w:sz w:val="24"/>
                <w:szCs w:val="24"/>
                <w14:textFill>
                  <w14:solidFill>
                    <w14:schemeClr w14:val="tx1"/>
                  </w14:solidFill>
                </w14:textFill>
              </w:rPr>
            </w:pPr>
          </w:p>
        </w:tc>
        <w:tc>
          <w:tcPr>
            <w:tcW w:w="4394" w:type="dxa"/>
            <w:tcBorders>
              <w:top w:val="single" w:color="auto" w:sz="4" w:space="0"/>
            </w:tcBorders>
            <w:shd w:val="clear" w:color="auto" w:fill="auto"/>
          </w:tcPr>
          <w:p w14:paraId="7196E40E">
            <w:pPr>
              <w:tabs>
                <w:tab w:val="left" w:pos="1440"/>
              </w:tabs>
              <w:autoSpaceDE w:val="0"/>
              <w:snapToGrid w:val="0"/>
              <w:spacing w:before="100" w:beforeAutospacing="1" w:after="100" w:afterAutospacing="1" w:line="288" w:lineRule="auto"/>
              <w:ind w:right="565"/>
              <w:jc w:val="both"/>
              <w:rPr>
                <w:rFonts w:eastAsia="Calibri"/>
                <w:color w:val="000000" w:themeColor="text1"/>
                <w:sz w:val="24"/>
                <w:szCs w:val="24"/>
                <w14:textFill>
                  <w14:solidFill>
                    <w14:schemeClr w14:val="tx1"/>
                  </w14:solidFill>
                </w14:textFill>
              </w:rPr>
            </w:pPr>
            <w:r>
              <w:rPr>
                <w:rFonts w:eastAsia="Calibri"/>
                <w:color w:val="000000" w:themeColor="text1"/>
                <w:sz w:val="24"/>
                <w:szCs w:val="24"/>
                <w14:textFill>
                  <w14:solidFill>
                    <w14:schemeClr w14:val="tx1"/>
                  </w14:solidFill>
                </w14:textFill>
              </w:rPr>
              <w:t>Passivo Circulante + Passivo Não Circulante</w:t>
            </w:r>
          </w:p>
        </w:tc>
      </w:tr>
    </w:tbl>
    <w:p w14:paraId="5B654C40">
      <w:pPr>
        <w:tabs>
          <w:tab w:val="left" w:pos="1440"/>
        </w:tabs>
        <w:autoSpaceDE w:val="0"/>
        <w:snapToGrid w:val="0"/>
        <w:spacing w:line="288" w:lineRule="auto"/>
        <w:ind w:right="565"/>
        <w:jc w:val="both"/>
        <w:rPr>
          <w:color w:val="000000" w:themeColor="text1"/>
          <w:sz w:val="24"/>
          <w:szCs w:val="24"/>
          <w14:textFill>
            <w14:solidFill>
              <w14:schemeClr w14:val="tx1"/>
            </w14:solidFill>
          </w14:textFill>
        </w:rPr>
      </w:pPr>
    </w:p>
    <w:tbl>
      <w:tblPr>
        <w:tblStyle w:val="10"/>
        <w:tblW w:w="0" w:type="auto"/>
        <w:tblInd w:w="1134" w:type="dxa"/>
        <w:tblLayout w:type="autofit"/>
        <w:tblCellMar>
          <w:top w:w="0" w:type="dxa"/>
          <w:left w:w="108" w:type="dxa"/>
          <w:bottom w:w="0" w:type="dxa"/>
          <w:right w:w="108" w:type="dxa"/>
        </w:tblCellMar>
      </w:tblPr>
      <w:tblGrid>
        <w:gridCol w:w="2235"/>
        <w:gridCol w:w="2551"/>
      </w:tblGrid>
      <w:tr w14:paraId="7B19A61D">
        <w:tc>
          <w:tcPr>
            <w:tcW w:w="2235" w:type="dxa"/>
            <w:vMerge w:val="restart"/>
            <w:shd w:val="clear" w:color="auto" w:fill="auto"/>
            <w:vAlign w:val="center"/>
          </w:tcPr>
          <w:p w14:paraId="582B27B0">
            <w:pPr>
              <w:tabs>
                <w:tab w:val="left" w:pos="1440"/>
              </w:tabs>
              <w:autoSpaceDE w:val="0"/>
              <w:snapToGrid w:val="0"/>
              <w:spacing w:line="288" w:lineRule="auto"/>
              <w:ind w:right="565"/>
              <w:jc w:val="both"/>
              <w:rPr>
                <w:rFonts w:eastAsia="Calibri"/>
                <w:color w:val="000000" w:themeColor="text1"/>
                <w:sz w:val="24"/>
                <w:szCs w:val="24"/>
                <w14:textFill>
                  <w14:solidFill>
                    <w14:schemeClr w14:val="tx1"/>
                  </w14:solidFill>
                </w14:textFill>
              </w:rPr>
            </w:pPr>
            <w:r>
              <w:rPr>
                <w:rFonts w:eastAsia="Calibri"/>
                <w:color w:val="000000" w:themeColor="text1"/>
                <w:sz w:val="24"/>
                <w:szCs w:val="24"/>
                <w14:textFill>
                  <w14:solidFill>
                    <w14:schemeClr w14:val="tx1"/>
                  </w14:solidFill>
                </w14:textFill>
              </w:rPr>
              <w:t>LC =</w:t>
            </w:r>
          </w:p>
        </w:tc>
        <w:tc>
          <w:tcPr>
            <w:tcW w:w="2551" w:type="dxa"/>
            <w:tcBorders>
              <w:bottom w:val="single" w:color="auto" w:sz="4" w:space="0"/>
            </w:tcBorders>
            <w:shd w:val="clear" w:color="auto" w:fill="auto"/>
            <w:vAlign w:val="bottom"/>
          </w:tcPr>
          <w:p w14:paraId="0A9E6F1F">
            <w:pPr>
              <w:tabs>
                <w:tab w:val="left" w:pos="1440"/>
              </w:tabs>
              <w:autoSpaceDE w:val="0"/>
              <w:snapToGrid w:val="0"/>
              <w:spacing w:line="288" w:lineRule="auto"/>
              <w:ind w:right="565"/>
              <w:jc w:val="both"/>
              <w:rPr>
                <w:rFonts w:eastAsia="Calibri"/>
                <w:color w:val="000000" w:themeColor="text1"/>
                <w:sz w:val="24"/>
                <w:szCs w:val="24"/>
                <w14:textFill>
                  <w14:solidFill>
                    <w14:schemeClr w14:val="tx1"/>
                  </w14:solidFill>
                </w14:textFill>
              </w:rPr>
            </w:pPr>
            <w:r>
              <w:rPr>
                <w:rFonts w:eastAsia="Calibri"/>
                <w:color w:val="000000" w:themeColor="text1"/>
                <w:sz w:val="24"/>
                <w:szCs w:val="24"/>
                <w14:textFill>
                  <w14:solidFill>
                    <w14:schemeClr w14:val="tx1"/>
                  </w14:solidFill>
                </w14:textFill>
              </w:rPr>
              <w:t>Ativo Circulante</w:t>
            </w:r>
          </w:p>
        </w:tc>
      </w:tr>
      <w:tr w14:paraId="3D479EF5">
        <w:tblPrEx>
          <w:tblCellMar>
            <w:top w:w="0" w:type="dxa"/>
            <w:left w:w="108" w:type="dxa"/>
            <w:bottom w:w="0" w:type="dxa"/>
            <w:right w:w="108" w:type="dxa"/>
          </w:tblCellMar>
        </w:tblPrEx>
        <w:tc>
          <w:tcPr>
            <w:tcW w:w="2235" w:type="dxa"/>
            <w:vMerge w:val="continue"/>
            <w:shd w:val="clear" w:color="auto" w:fill="auto"/>
          </w:tcPr>
          <w:p w14:paraId="2206AD09">
            <w:pPr>
              <w:tabs>
                <w:tab w:val="left" w:pos="1440"/>
              </w:tabs>
              <w:autoSpaceDE w:val="0"/>
              <w:snapToGrid w:val="0"/>
              <w:spacing w:line="288" w:lineRule="auto"/>
              <w:ind w:right="565"/>
              <w:jc w:val="both"/>
              <w:rPr>
                <w:rFonts w:eastAsia="Calibri"/>
                <w:color w:val="000000" w:themeColor="text1"/>
                <w:sz w:val="24"/>
                <w:szCs w:val="24"/>
                <w14:textFill>
                  <w14:solidFill>
                    <w14:schemeClr w14:val="tx1"/>
                  </w14:solidFill>
                </w14:textFill>
              </w:rPr>
            </w:pPr>
          </w:p>
        </w:tc>
        <w:tc>
          <w:tcPr>
            <w:tcW w:w="2551" w:type="dxa"/>
            <w:tcBorders>
              <w:top w:val="single" w:color="auto" w:sz="4" w:space="0"/>
            </w:tcBorders>
            <w:shd w:val="clear" w:color="auto" w:fill="auto"/>
          </w:tcPr>
          <w:p w14:paraId="7528E78A">
            <w:pPr>
              <w:tabs>
                <w:tab w:val="left" w:pos="1440"/>
              </w:tabs>
              <w:autoSpaceDE w:val="0"/>
              <w:snapToGrid w:val="0"/>
              <w:spacing w:before="100" w:beforeAutospacing="1" w:after="100" w:afterAutospacing="1" w:line="288" w:lineRule="auto"/>
              <w:ind w:right="565"/>
              <w:jc w:val="both"/>
              <w:rPr>
                <w:rFonts w:eastAsia="Calibri"/>
                <w:color w:val="000000" w:themeColor="text1"/>
                <w:sz w:val="24"/>
                <w:szCs w:val="24"/>
                <w14:textFill>
                  <w14:solidFill>
                    <w14:schemeClr w14:val="tx1"/>
                  </w14:solidFill>
                </w14:textFill>
              </w:rPr>
            </w:pPr>
            <w:r>
              <w:rPr>
                <w:rFonts w:eastAsia="Calibri"/>
                <w:color w:val="000000" w:themeColor="text1"/>
                <w:sz w:val="24"/>
                <w:szCs w:val="24"/>
                <w14:textFill>
                  <w14:solidFill>
                    <w14:schemeClr w14:val="tx1"/>
                  </w14:solidFill>
                </w14:textFill>
              </w:rPr>
              <w:t>Passivo Circulante</w:t>
            </w:r>
          </w:p>
        </w:tc>
      </w:tr>
    </w:tbl>
    <w:p w14:paraId="7FA9E05C">
      <w:pPr>
        <w:pStyle w:val="119"/>
        <w:spacing w:before="0" w:beforeAutospacing="0" w:after="0" w:afterAutospacing="0" w:line="288" w:lineRule="auto"/>
        <w:ind w:right="565"/>
        <w:jc w:val="both"/>
        <w:rPr>
          <w:color w:val="000000" w:themeColor="text1"/>
          <w14:textFill>
            <w14:solidFill>
              <w14:schemeClr w14:val="tx1"/>
            </w14:solidFill>
          </w14:textFill>
        </w:rPr>
      </w:pPr>
    </w:p>
    <w:p w14:paraId="331134F1">
      <w:pPr>
        <w:pStyle w:val="119"/>
        <w:spacing w:before="0" w:beforeAutospacing="0" w:after="0" w:afterAutospacing="0" w:line="288" w:lineRule="auto"/>
        <w:ind w:right="565"/>
        <w:jc w:val="both"/>
        <w:rPr>
          <w:color w:val="000000" w:themeColor="text1"/>
          <w14:textFill>
            <w14:solidFill>
              <w14:schemeClr w14:val="tx1"/>
            </w14:solidFill>
          </w14:textFill>
        </w:rPr>
      </w:pPr>
      <w:r>
        <w:rPr>
          <w:color w:val="000000" w:themeColor="text1"/>
          <w14:textFill>
            <w14:solidFill>
              <w14:schemeClr w14:val="tx1"/>
            </w14:solidFill>
          </w14:textFill>
        </w:rPr>
        <w:t>3.3.1 Caso seja apresentado resultado inferior ou igual a 1(um) em qualquer dos índices de Liquidez Geral (LG), Solvência Geral (SG) e Liquidez Corrente (LC), deverá ser comprovado capital ou patrimônio líquido mínimo de ... (....) do valor total estimado da contratação ou do item pertinente.</w:t>
      </w:r>
    </w:p>
    <w:p w14:paraId="3628BD6B">
      <w:pPr>
        <w:pStyle w:val="119"/>
        <w:spacing w:before="0" w:beforeAutospacing="0" w:after="0" w:afterAutospacing="0" w:line="288" w:lineRule="auto"/>
        <w:ind w:right="565"/>
        <w:jc w:val="both"/>
        <w:rPr>
          <w:color w:val="000000" w:themeColor="text1"/>
          <w14:textFill>
            <w14:solidFill>
              <w14:schemeClr w14:val="tx1"/>
            </w14:solidFill>
          </w14:textFill>
        </w:rPr>
      </w:pPr>
    </w:p>
    <w:p w14:paraId="53F790BB">
      <w:pPr>
        <w:pStyle w:val="119"/>
        <w:spacing w:before="0" w:beforeAutospacing="0" w:after="0" w:afterAutospacing="0" w:line="288" w:lineRule="auto"/>
        <w:ind w:right="565"/>
        <w:jc w:val="both"/>
        <w:rPr>
          <w:rStyle w:val="124"/>
          <w:rFonts w:ascii="Times New Roman" w:hAnsi="Times New Roman" w:cs="Times New Roman"/>
          <w:b/>
          <w:bCs/>
          <w:i w:val="0"/>
          <w:iCs w:val="0"/>
          <w:color w:val="000000" w:themeColor="text1"/>
          <w:sz w:val="24"/>
          <w:szCs w:val="24"/>
          <w14:textFill>
            <w14:solidFill>
              <w14:schemeClr w14:val="tx1"/>
            </w14:solidFill>
          </w14:textFill>
        </w:rPr>
      </w:pPr>
      <w:r>
        <w:rPr>
          <w:rStyle w:val="118"/>
          <w:rFonts w:ascii="Times New Roman" w:hAnsi="Times New Roman" w:cs="Times New Roman"/>
          <w:b/>
          <w:bCs/>
          <w:color w:val="000000" w:themeColor="text1"/>
          <w:sz w:val="24"/>
          <w:szCs w:val="24"/>
          <w14:textFill>
            <w14:solidFill>
              <w14:schemeClr w14:val="tx1"/>
            </w14:solidFill>
          </w14:textFill>
        </w:rPr>
        <w:t>NOTA EXPLICATIVA:</w:t>
      </w:r>
      <w:r>
        <w:rPr>
          <w:rStyle w:val="124"/>
          <w:rFonts w:ascii="Times New Roman" w:hAnsi="Times New Roman" w:cs="Times New Roman"/>
          <w:b/>
          <w:bCs/>
          <w:i w:val="0"/>
          <w:iCs w:val="0"/>
          <w:color w:val="000000" w:themeColor="text1"/>
          <w:sz w:val="24"/>
          <w:szCs w:val="24"/>
          <w14:textFill>
            <w14:solidFill>
              <w14:schemeClr w14:val="tx1"/>
            </w14:solidFill>
          </w14:textFill>
        </w:rPr>
        <w:t xml:space="preserve"> </w:t>
      </w:r>
    </w:p>
    <w:p w14:paraId="5B782E1F">
      <w:pPr>
        <w:pStyle w:val="119"/>
        <w:spacing w:before="0" w:beforeAutospacing="0" w:after="0" w:afterAutospacing="0" w:line="288" w:lineRule="auto"/>
        <w:ind w:right="565"/>
        <w:jc w:val="both"/>
        <w:rPr>
          <w:rStyle w:val="124"/>
          <w:rFonts w:ascii="Times New Roman" w:hAnsi="Times New Roman" w:cs="Times New Roman"/>
          <w:i w:val="0"/>
          <w:iCs w:val="0"/>
          <w:color w:val="000000" w:themeColor="text1"/>
          <w:sz w:val="24"/>
          <w:szCs w:val="24"/>
          <w14:textFill>
            <w14:solidFill>
              <w14:schemeClr w14:val="tx1"/>
            </w14:solidFill>
          </w14:textFill>
        </w:rPr>
      </w:pPr>
      <w:r>
        <w:rPr>
          <w:rStyle w:val="124"/>
          <w:rFonts w:ascii="Times New Roman" w:hAnsi="Times New Roman" w:cs="Times New Roman"/>
          <w:i w:val="0"/>
          <w:iCs w:val="0"/>
          <w:color w:val="000000" w:themeColor="text1"/>
          <w:sz w:val="24"/>
          <w:szCs w:val="24"/>
          <w14:textFill>
            <w14:solidFill>
              <w14:schemeClr w14:val="tx1"/>
            </w14:solidFill>
          </w14:textFill>
        </w:rPr>
        <w:t xml:space="preserve">A fixação do percentual referente ao patrimônio líquido se insere na esfera de atuação discricionária da Administração, podendo ser exigido até 10% (dez por cento) do valor estimado da contratação (art. 69, § 4º, da Lei nº 14.133/2021), exceto na hipótese de orçamento sigiloso, para evitar que o parâmetro do preço estimado seja revelado por outros meios. </w:t>
      </w:r>
    </w:p>
    <w:p w14:paraId="2C8E5373">
      <w:pPr>
        <w:pStyle w:val="119"/>
        <w:spacing w:before="0" w:beforeAutospacing="0" w:after="0" w:afterAutospacing="0" w:line="288" w:lineRule="auto"/>
        <w:ind w:right="565"/>
        <w:jc w:val="both"/>
        <w:rPr>
          <w:rStyle w:val="124"/>
          <w:rFonts w:ascii="Times New Roman" w:hAnsi="Times New Roman" w:cs="Times New Roman"/>
          <w:i w:val="0"/>
          <w:iCs w:val="0"/>
          <w:color w:val="000000" w:themeColor="text1"/>
          <w:sz w:val="24"/>
          <w:szCs w:val="24"/>
          <w14:textFill>
            <w14:solidFill>
              <w14:schemeClr w14:val="tx1"/>
            </w14:solidFill>
          </w14:textFill>
        </w:rPr>
      </w:pPr>
    </w:p>
    <w:p w14:paraId="6B2423BD">
      <w:pPr>
        <w:pStyle w:val="119"/>
        <w:spacing w:before="0" w:beforeAutospacing="0" w:after="0" w:afterAutospacing="0" w:line="288" w:lineRule="auto"/>
        <w:ind w:right="565"/>
        <w:contextualSpacing/>
        <w:jc w:val="both"/>
        <w:rPr>
          <w:color w:val="000000" w:themeColor="text1"/>
          <w:lang w:eastAsia="en-US"/>
          <w14:textFill>
            <w14:solidFill>
              <w14:schemeClr w14:val="tx1"/>
            </w14:solidFill>
          </w14:textFill>
        </w:rPr>
      </w:pPr>
      <w:r>
        <w:rPr>
          <w:color w:val="000000" w:themeColor="text1"/>
          <w:lang w:eastAsia="en-US"/>
          <w14:textFill>
            <w14:solidFill>
              <w14:schemeClr w14:val="tx1"/>
            </w14:solidFill>
          </w14:textFill>
        </w:rPr>
        <w:t>3.3.2 O atendimento dos índices econômicos previstos neste item deverá ser atestado mediante declaração assinada por profissional habilitado da área contábil, apresentada pelo fornecedor.</w:t>
      </w:r>
    </w:p>
    <w:p w14:paraId="647BF601">
      <w:pPr>
        <w:pStyle w:val="119"/>
        <w:spacing w:before="0" w:beforeAutospacing="0" w:after="0" w:afterAutospacing="0" w:line="288" w:lineRule="auto"/>
        <w:ind w:left="567" w:right="565"/>
        <w:jc w:val="both"/>
        <w:rPr>
          <w:lang w:eastAsia="en-US"/>
        </w:rPr>
      </w:pPr>
    </w:p>
    <w:p w14:paraId="02997762">
      <w:pPr>
        <w:pStyle w:val="119"/>
        <w:spacing w:before="0" w:beforeAutospacing="0" w:after="0" w:afterAutospacing="0" w:line="288" w:lineRule="auto"/>
        <w:contextualSpacing/>
        <w:jc w:val="both"/>
        <w:rPr>
          <w:iCs/>
          <w:color w:val="FF0000"/>
        </w:rPr>
      </w:pPr>
    </w:p>
    <w:p w14:paraId="5485971C">
      <w:pPr>
        <w:pStyle w:val="119"/>
        <w:spacing w:before="0" w:beforeAutospacing="0" w:after="0" w:afterAutospacing="0" w:line="288" w:lineRule="auto"/>
        <w:contextualSpacing/>
        <w:jc w:val="both"/>
        <w:rPr>
          <w:b/>
          <w:bCs/>
        </w:rPr>
      </w:pPr>
      <w:r>
        <w:rPr>
          <w:b/>
          <w:bCs/>
        </w:rPr>
        <w:t>4. HABILITAÇÃO TÉCNICA</w:t>
      </w:r>
    </w:p>
    <w:p w14:paraId="2402E2F8">
      <w:pPr>
        <w:pStyle w:val="119"/>
        <w:spacing w:before="0" w:beforeAutospacing="0" w:after="0" w:afterAutospacing="0" w:line="288" w:lineRule="auto"/>
        <w:contextualSpacing/>
        <w:jc w:val="both"/>
        <w:rPr>
          <w:b/>
          <w:bCs/>
        </w:rPr>
      </w:pPr>
    </w:p>
    <w:p w14:paraId="1DCA0DC0">
      <w:pPr>
        <w:pStyle w:val="125"/>
        <w:keepNext w:val="0"/>
        <w:widowControl/>
        <w:spacing w:before="0" w:after="0" w:line="288" w:lineRule="auto"/>
        <w:ind w:firstLine="0"/>
        <w:contextualSpacing/>
        <w:rPr>
          <w:rFonts w:ascii="Times New Roman" w:hAnsi="Times New Roman" w:cs="Times New Roman"/>
          <w:color w:val="000000" w:themeColor="text1"/>
          <w:sz w:val="24"/>
          <w14:textFill>
            <w14:solidFill>
              <w14:schemeClr w14:val="tx1"/>
            </w14:solidFill>
          </w14:textFill>
        </w:rPr>
      </w:pPr>
      <w:bookmarkStart w:id="42" w:name="_Hlk154233180"/>
      <w:r>
        <w:rPr>
          <w:rFonts w:ascii="Times New Roman" w:hAnsi="Times New Roman" w:cs="Times New Roman"/>
          <w:color w:val="000000" w:themeColor="text1"/>
          <w:sz w:val="24"/>
          <w14:textFill>
            <w14:solidFill>
              <w14:schemeClr w14:val="tx1"/>
            </w14:solidFill>
          </w14:textFill>
        </w:rPr>
        <w:t xml:space="preserve">4.1 </w:t>
      </w:r>
      <w:bookmarkEnd w:id="42"/>
      <w:r>
        <w:rPr>
          <w:rFonts w:ascii="Times New Roman" w:hAnsi="Times New Roman" w:cs="Times New Roman"/>
          <w:color w:val="000000" w:themeColor="text1"/>
          <w:sz w:val="24"/>
          <w14:textFill>
            <w14:solidFill>
              <w14:schemeClr w14:val="tx1"/>
            </w14:solidFill>
          </w14:textFill>
        </w:rPr>
        <w:t>Comprovação de aptidão para o fornecimento de bens, de acordo com as características, quantidades e prazos compatíveis com o objeto, mediante a apresentação de atestado(s) fornecido(s) por pessoas jurídicas de direito público ou privado, na seguinte forma:</w:t>
      </w:r>
    </w:p>
    <w:p w14:paraId="6B7E476E">
      <w:pPr>
        <w:spacing w:line="288" w:lineRule="auto"/>
        <w:ind w:right="565"/>
        <w:contextualSpacing/>
        <w:jc w:val="both"/>
        <w:rPr>
          <w:color w:val="000000" w:themeColor="text1"/>
          <w:sz w:val="24"/>
          <w:szCs w:val="24"/>
          <w14:textFill>
            <w14:solidFill>
              <w14:schemeClr w14:val="tx1"/>
            </w14:solidFill>
          </w14:textFill>
        </w:rPr>
      </w:pPr>
    </w:p>
    <w:p w14:paraId="66872824">
      <w:pPr>
        <w:spacing w:line="288" w:lineRule="auto"/>
        <w:ind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4.2._ Os atestados deverão referir-se a fornecimento no âmbito de sua atividade econômica principal ou secundária especificadas no contrato social vigente.</w:t>
      </w:r>
    </w:p>
    <w:p w14:paraId="6A1BDD8B">
      <w:pPr>
        <w:spacing w:line="288" w:lineRule="auto"/>
        <w:ind w:right="565"/>
        <w:contextualSpacing/>
        <w:jc w:val="both"/>
        <w:rPr>
          <w:color w:val="000000" w:themeColor="text1"/>
          <w:sz w:val="24"/>
          <w:szCs w:val="24"/>
          <w14:textFill>
            <w14:solidFill>
              <w14:schemeClr w14:val="tx1"/>
            </w14:solidFill>
          </w14:textFill>
        </w:rPr>
      </w:pPr>
    </w:p>
    <w:p w14:paraId="4A0F0FFC">
      <w:pPr>
        <w:spacing w:line="288" w:lineRule="auto"/>
        <w:ind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4.3._ Poderá ser admitida, para fins de comprovação de quantitativo mínimo do fornecimento, a apresentação de diferentes atestados de objetos executados de forma concomitante, resultando na comprovação de capacidade técnico-operacional de uma única contratação.</w:t>
      </w:r>
    </w:p>
    <w:p w14:paraId="3EE5255E">
      <w:pPr>
        <w:spacing w:line="288" w:lineRule="auto"/>
        <w:ind w:right="565"/>
        <w:contextualSpacing/>
        <w:jc w:val="both"/>
        <w:rPr>
          <w:color w:val="000000" w:themeColor="text1"/>
          <w:sz w:val="24"/>
          <w:szCs w:val="24"/>
          <w14:textFill>
            <w14:solidFill>
              <w14:schemeClr w14:val="tx1"/>
            </w14:solidFill>
          </w14:textFill>
        </w:rPr>
      </w:pPr>
    </w:p>
    <w:p w14:paraId="77D7536C">
      <w:pPr>
        <w:spacing w:line="288" w:lineRule="auto"/>
        <w:ind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4.4._ Em caso de dúvida fundada suscitada pelo pregoeiro, a Administração poderá solicitar ao licitante, em diligência complementar, todas as informações necessárias à comprovação da legitimidade dos atestados, dentre outros documentos, cópia do contrato que deu suporte à contratação, endereço atual da contratante e local em que foram executados os objetos.</w:t>
      </w:r>
    </w:p>
    <w:p w14:paraId="1AA852FE">
      <w:pPr>
        <w:pStyle w:val="119"/>
        <w:spacing w:before="0" w:beforeAutospacing="0" w:after="0" w:afterAutospacing="0" w:line="288" w:lineRule="auto"/>
        <w:contextualSpacing/>
        <w:jc w:val="both"/>
        <w:rPr>
          <w:rStyle w:val="118"/>
          <w:rFonts w:asciiTheme="minorHAnsi" w:hAnsiTheme="minorHAnsi" w:cstheme="minorHAnsi"/>
          <w:color w:val="000000" w:themeColor="text1"/>
          <w:sz w:val="24"/>
          <w:szCs w:val="24"/>
          <w14:textFill>
            <w14:solidFill>
              <w14:schemeClr w14:val="tx1"/>
            </w14:solidFill>
          </w14:textFill>
        </w:rPr>
      </w:pPr>
    </w:p>
    <w:p w14:paraId="46849E62">
      <w:pPr>
        <w:spacing w:line="288" w:lineRule="auto"/>
        <w:contextualSpacing/>
        <w:jc w:val="center"/>
        <w:rPr>
          <w:b/>
          <w:bCs/>
          <w:sz w:val="24"/>
          <w:szCs w:val="24"/>
        </w:rPr>
      </w:pPr>
      <w:r>
        <w:rPr>
          <w:b/>
          <w:bCs/>
          <w:sz w:val="24"/>
          <w:szCs w:val="24"/>
        </w:rPr>
        <w:t>ANEXO V</w:t>
      </w:r>
    </w:p>
    <w:p w14:paraId="68BCF3B6">
      <w:pPr>
        <w:spacing w:line="368" w:lineRule="auto"/>
        <w:ind w:left="720" w:right="16"/>
        <w:jc w:val="center"/>
        <w:rPr>
          <w:b/>
          <w:u w:val="single"/>
        </w:rPr>
      </w:pPr>
    </w:p>
    <w:p w14:paraId="2F992440">
      <w:pPr>
        <w:tabs>
          <w:tab w:val="left" w:pos="709"/>
        </w:tabs>
        <w:spacing w:before="120" w:after="120"/>
        <w:ind w:left="142"/>
        <w:jc w:val="center"/>
        <w:rPr>
          <w:b/>
          <w:sz w:val="24"/>
          <w:szCs w:val="24"/>
          <w:u w:val="single"/>
        </w:rPr>
      </w:pPr>
      <w:r>
        <w:rPr>
          <w:b/>
          <w:sz w:val="24"/>
          <w:szCs w:val="24"/>
          <w:highlight w:val="yellow"/>
          <w:u w:val="single"/>
        </w:rPr>
        <w:t>PLANILHA DE CUSTOS</w:t>
      </w:r>
    </w:p>
    <w:p w14:paraId="5679C455">
      <w:pPr>
        <w:tabs>
          <w:tab w:val="left" w:pos="709"/>
        </w:tabs>
        <w:spacing w:before="120" w:after="120"/>
        <w:ind w:left="142"/>
        <w:jc w:val="center"/>
        <w:rPr>
          <w:b/>
          <w:sz w:val="24"/>
          <w:szCs w:val="24"/>
          <w:u w:val="single"/>
        </w:rPr>
      </w:pPr>
    </w:p>
    <w:p w14:paraId="525681AA">
      <w:pPr>
        <w:tabs>
          <w:tab w:val="left" w:pos="709"/>
        </w:tabs>
        <w:spacing w:before="120" w:after="120"/>
        <w:ind w:left="142"/>
        <w:jc w:val="center"/>
        <w:rPr>
          <w:b/>
          <w:sz w:val="24"/>
          <w:szCs w:val="24"/>
          <w:u w:val="single"/>
        </w:rPr>
      </w:pPr>
      <w:r>
        <w:rPr>
          <w:b/>
          <w:sz w:val="24"/>
          <w:szCs w:val="24"/>
          <w:u w:val="single"/>
        </w:rPr>
        <w:drawing>
          <wp:anchor distT="0" distB="0" distL="114300" distR="114300" simplePos="0" relativeHeight="251659264" behindDoc="0" locked="0" layoutInCell="1" allowOverlap="1">
            <wp:simplePos x="0" y="0"/>
            <wp:positionH relativeFrom="column">
              <wp:posOffset>-518795</wp:posOffset>
            </wp:positionH>
            <wp:positionV relativeFrom="paragraph">
              <wp:posOffset>0</wp:posOffset>
            </wp:positionV>
            <wp:extent cx="6927215" cy="4022725"/>
            <wp:effectExtent l="0" t="0" r="6985" b="0"/>
            <wp:wrapSquare wrapText="bothSides"/>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pic:cNvPicPr>
                      <a:picLocks noChangeAspect="1"/>
                    </pic:cNvPicPr>
                  </pic:nvPicPr>
                  <pic:blipFill>
                    <a:blip r:embed="rId6">
                      <a:extLst>
                        <a:ext uri="{28A0092B-C50C-407E-A947-70E740481C1C}">
                          <a14:useLocalDpi xmlns:a14="http://schemas.microsoft.com/office/drawing/2010/main" val="0"/>
                        </a:ext>
                      </a:extLst>
                    </a:blip>
                    <a:stretch>
                      <a:fillRect/>
                    </a:stretch>
                  </pic:blipFill>
                  <pic:spPr>
                    <a:xfrm>
                      <a:off x="0" y="0"/>
                      <a:ext cx="6927215" cy="4022725"/>
                    </a:xfrm>
                    <a:prstGeom prst="rect">
                      <a:avLst/>
                    </a:prstGeom>
                  </pic:spPr>
                </pic:pic>
              </a:graphicData>
            </a:graphic>
          </wp:anchor>
        </w:drawing>
      </w:r>
    </w:p>
    <w:p w14:paraId="2110695E">
      <w:pPr>
        <w:rPr>
          <w:rFonts w:ascii="Arial" w:hAnsi="Arial" w:cs="Arial"/>
        </w:rPr>
      </w:pPr>
    </w:p>
    <w:p w14:paraId="0DA704E2">
      <w:pPr>
        <w:spacing w:line="288" w:lineRule="auto"/>
        <w:contextualSpacing/>
        <w:jc w:val="center"/>
        <w:rPr>
          <w:b/>
          <w:bCs/>
          <w:color w:val="000000" w:themeColor="text1"/>
          <w:sz w:val="24"/>
          <w:szCs w:val="24"/>
          <w14:textFill>
            <w14:solidFill>
              <w14:schemeClr w14:val="tx1"/>
            </w14:solidFill>
          </w14:textFill>
        </w:rPr>
      </w:pPr>
      <w:r>
        <w:rPr>
          <w:b/>
          <w:bCs/>
          <w:color w:val="000000" w:themeColor="text1"/>
          <w:sz w:val="24"/>
          <w:szCs w:val="24"/>
          <w14:textFill>
            <w14:solidFill>
              <w14:schemeClr w14:val="tx1"/>
            </w14:solidFill>
          </w14:textFill>
        </w:rPr>
        <w:t>ANEXO VI</w:t>
      </w:r>
    </w:p>
    <w:p w14:paraId="2204BE60">
      <w:pPr>
        <w:spacing w:line="288" w:lineRule="auto"/>
        <w:contextualSpacing/>
        <w:jc w:val="center"/>
        <w:rPr>
          <w:b/>
          <w:bCs/>
          <w:color w:val="000000" w:themeColor="text1"/>
          <w:sz w:val="24"/>
          <w:szCs w:val="24"/>
          <w14:textFill>
            <w14:solidFill>
              <w14:schemeClr w14:val="tx1"/>
            </w14:solidFill>
          </w14:textFill>
        </w:rPr>
      </w:pPr>
    </w:p>
    <w:p w14:paraId="5B72FB63">
      <w:pPr>
        <w:spacing w:line="288" w:lineRule="auto"/>
        <w:contextualSpacing/>
        <w:jc w:val="center"/>
        <w:rPr>
          <w:b/>
          <w:color w:val="000000" w:themeColor="text1"/>
          <w:sz w:val="24"/>
          <w:szCs w:val="24"/>
          <w:highlight w:val="yellow"/>
          <w:u w:val="single"/>
          <w14:textFill>
            <w14:solidFill>
              <w14:schemeClr w14:val="tx1"/>
            </w14:solidFill>
          </w14:textFill>
        </w:rPr>
      </w:pPr>
      <w:r>
        <w:rPr>
          <w:b/>
          <w:bCs/>
          <w:color w:val="000000" w:themeColor="text1"/>
          <w:sz w:val="24"/>
          <w:szCs w:val="24"/>
          <w:highlight w:val="yellow"/>
          <w:u w:val="single"/>
          <w14:textFill>
            <w14:solidFill>
              <w14:schemeClr w14:val="tx1"/>
            </w14:solidFill>
          </w14:textFill>
        </w:rPr>
        <w:t xml:space="preserve">MINUTA - ATA DE REGISTRO DE PREÇOS N° </w:t>
      </w:r>
      <w:r>
        <w:rPr>
          <w:b/>
          <w:color w:val="000000" w:themeColor="text1"/>
          <w:sz w:val="24"/>
          <w:szCs w:val="24"/>
          <w:highlight w:val="yellow"/>
          <w:u w:val="single"/>
          <w14:textFill>
            <w14:solidFill>
              <w14:schemeClr w14:val="tx1"/>
            </w14:solidFill>
          </w14:textFill>
        </w:rPr>
        <w:t>XXX/XXX</w:t>
      </w:r>
    </w:p>
    <w:p w14:paraId="6522E206">
      <w:pPr>
        <w:contextualSpacing/>
        <w:jc w:val="center"/>
        <w:rPr>
          <w:b/>
          <w:bCs/>
          <w:color w:val="000000" w:themeColor="text1"/>
          <w:sz w:val="24"/>
          <w:szCs w:val="24"/>
          <w:highlight w:val="yellow"/>
          <w:u w:val="single"/>
          <w14:textFill>
            <w14:solidFill>
              <w14:schemeClr w14:val="tx1"/>
            </w14:solidFill>
          </w14:textFill>
        </w:rPr>
      </w:pPr>
      <w:r>
        <w:rPr>
          <w:b/>
          <w:bCs/>
          <w:color w:val="000000" w:themeColor="text1"/>
          <w:sz w:val="24"/>
          <w:szCs w:val="24"/>
          <w:highlight w:val="yellow"/>
          <w:u w:val="single"/>
          <w14:textFill>
            <w14:solidFill>
              <w14:schemeClr w14:val="tx1"/>
            </w14:solidFill>
          </w14:textFill>
        </w:rPr>
        <w:t>MUNICÍPIO DE VALENÇA</w:t>
      </w:r>
    </w:p>
    <w:p w14:paraId="0645F0F3">
      <w:pPr>
        <w:contextualSpacing/>
        <w:jc w:val="center"/>
        <w:rPr>
          <w:b/>
          <w:bCs/>
          <w:color w:val="000000" w:themeColor="text1"/>
          <w:sz w:val="24"/>
          <w:szCs w:val="24"/>
          <w:u w:val="single"/>
          <w14:textFill>
            <w14:solidFill>
              <w14:schemeClr w14:val="tx1"/>
            </w14:solidFill>
          </w14:textFill>
        </w:rPr>
      </w:pPr>
      <w:r>
        <w:rPr>
          <w:b/>
          <w:color w:val="000000" w:themeColor="text1"/>
          <w:sz w:val="24"/>
          <w:szCs w:val="24"/>
          <w:highlight w:val="yellow"/>
          <w:u w:val="single"/>
          <w14:textFill>
            <w14:solidFill>
              <w14:schemeClr w14:val="tx1"/>
            </w14:solidFill>
          </w14:textFill>
        </w:rPr>
        <w:t>SECRETARIA MUNICIPAL DE ASSISTÊNCIA, ESPORTE E ENVELHECIMENTO SAUDÁVEL</w:t>
      </w:r>
    </w:p>
    <w:p w14:paraId="44395BEA">
      <w:pPr>
        <w:spacing w:after="120"/>
        <w:ind w:left="3969" w:right="-15"/>
        <w:contextualSpacing/>
        <w:jc w:val="both"/>
        <w:rPr>
          <w:b/>
          <w:color w:val="000000" w:themeColor="text1"/>
          <w:sz w:val="24"/>
          <w:szCs w:val="24"/>
          <w14:textFill>
            <w14:solidFill>
              <w14:schemeClr w14:val="tx1"/>
            </w14:solidFill>
          </w14:textFill>
        </w:rPr>
      </w:pPr>
    </w:p>
    <w:p w14:paraId="6787FE57">
      <w:pPr>
        <w:spacing w:after="120"/>
        <w:ind w:left="3969" w:right="-15"/>
        <w:contextualSpacing/>
        <w:jc w:val="both"/>
        <w:rPr>
          <w:b/>
          <w:color w:val="000000" w:themeColor="text1"/>
          <w:sz w:val="24"/>
          <w:szCs w:val="24"/>
          <w14:textFill>
            <w14:solidFill>
              <w14:schemeClr w14:val="tx1"/>
            </w14:solidFill>
          </w14:textFill>
        </w:rPr>
      </w:pPr>
    </w:p>
    <w:p w14:paraId="673543BE">
      <w:pPr>
        <w:widowControl w:val="0"/>
        <w:tabs>
          <w:tab w:val="center" w:pos="4779"/>
          <w:tab w:val="right" w:pos="9198"/>
        </w:tabs>
        <w:autoSpaceDE w:val="0"/>
        <w:autoSpaceDN w:val="0"/>
        <w:adjustRightInd w:val="0"/>
        <w:spacing w:before="120" w:after="120" w:line="288" w:lineRule="auto"/>
        <w:ind w:right="-28"/>
        <w:contextualSpacing/>
        <w:jc w:val="both"/>
        <w:rPr>
          <w:color w:val="000000" w:themeColor="text1"/>
          <w:sz w:val="24"/>
          <w:szCs w:val="24"/>
          <w14:textFill>
            <w14:solidFill>
              <w14:schemeClr w14:val="tx1"/>
            </w14:solidFill>
          </w14:textFill>
        </w:rPr>
      </w:pPr>
      <w:r>
        <w:rPr>
          <w:rFonts w:eastAsia="Arial"/>
          <w:b/>
          <w:bCs/>
          <w:color w:val="000000" w:themeColor="text1"/>
          <w:sz w:val="24"/>
          <w:szCs w:val="24"/>
          <w14:textFill>
            <w14:solidFill>
              <w14:schemeClr w14:val="tx1"/>
            </w14:solidFill>
          </w14:textFill>
        </w:rPr>
        <w:t xml:space="preserve">O MUNICÍPIO DE VALENÇA, </w:t>
      </w:r>
      <w:r>
        <w:rPr>
          <w:b/>
          <w:bCs/>
          <w:color w:val="000000" w:themeColor="text1"/>
          <w:sz w:val="24"/>
          <w:szCs w:val="24"/>
          <w14:textFill>
            <w14:solidFill>
              <w14:schemeClr w14:val="tx1"/>
            </w14:solidFill>
          </w14:textFill>
        </w:rPr>
        <w:t>pela SECRETARIA MUNICIPAL DE ASSISTÊNCIA, ESPORTE E ENVELHECIMENTO SAUDÁVEL</w:t>
      </w:r>
      <w:r>
        <w:rPr>
          <w:color w:val="000000" w:themeColor="text1"/>
          <w:sz w:val="24"/>
          <w:szCs w:val="24"/>
          <w14:textFill>
            <w14:solidFill>
              <w14:schemeClr w14:val="tx1"/>
            </w14:solidFill>
          </w14:textFill>
        </w:rPr>
        <w:t xml:space="preserve">, com sede na xxx , na cidade de Valença, no Estado do Rio de Janeiro, inscrita no CNPJ sob o nº ................................, neste ato representada por......., portador do CPF nº ......, considerando o resultado do Pregão Eletrônico nº xxx/2026, publicada no ...... de ...../...../202... para REGISTRO DE PREÇOS, processo administrativo ....., RESOLVE registrar os preços da  empresa indicada e qualificada nesta ATA, de acordo com a classificação por ela alcançada e na quantidade  cotada, atendendo as condições previstas no </w:t>
      </w:r>
      <w:bookmarkStart w:id="43" w:name="_Hlk158816343"/>
      <w:r>
        <w:rPr>
          <w:color w:val="000000" w:themeColor="text1"/>
          <w:sz w:val="24"/>
          <w:szCs w:val="24"/>
          <w14:textFill>
            <w14:solidFill>
              <w14:schemeClr w14:val="tx1"/>
            </w14:solidFill>
          </w14:textFill>
        </w:rPr>
        <w:t xml:space="preserve">Edital de licitação </w:t>
      </w:r>
      <w:bookmarkStart w:id="44" w:name="_Hlk155800648"/>
      <w:r>
        <w:rPr>
          <w:color w:val="000000" w:themeColor="text1"/>
          <w:sz w:val="24"/>
          <w:szCs w:val="24"/>
          <w14:textFill>
            <w14:solidFill>
              <w14:schemeClr w14:val="tx1"/>
            </w14:solidFill>
          </w14:textFill>
        </w:rPr>
        <w:t>nº xxx/202</w:t>
      </w:r>
      <w:bookmarkEnd w:id="44"/>
      <w:r>
        <w:rPr>
          <w:color w:val="000000" w:themeColor="text1"/>
          <w:sz w:val="24"/>
          <w:szCs w:val="24"/>
          <w14:textFill>
            <w14:solidFill>
              <w14:schemeClr w14:val="tx1"/>
            </w14:solidFill>
          </w14:textFill>
        </w:rPr>
        <w:t>6 Termo de Referência</w:t>
      </w:r>
      <w:bookmarkEnd w:id="43"/>
      <w:r>
        <w:rPr>
          <w:color w:val="000000" w:themeColor="text1"/>
          <w:sz w:val="24"/>
          <w:szCs w:val="24"/>
          <w14:textFill>
            <w14:solidFill>
              <w14:schemeClr w14:val="tx1"/>
            </w14:solidFill>
          </w14:textFill>
        </w:rPr>
        <w:t xml:space="preserve">, sujeitando-se as partes às normas constantes na Lei nº 14.133, de 1º de abril de 2021, no Decreto nº 46, de 25 de fevereiro de 2025 </w:t>
      </w:r>
      <w:r>
        <w:rPr>
          <w:rFonts w:eastAsia="Arial"/>
          <w:color w:val="000000" w:themeColor="text1"/>
          <w:sz w:val="24"/>
          <w:szCs w:val="24"/>
          <w14:textFill>
            <w14:solidFill>
              <w14:schemeClr w14:val="tx1"/>
            </w14:solidFill>
          </w14:textFill>
        </w:rPr>
        <w:t xml:space="preserve">e nos demais normativos municipais aplicáveis, todos disponíveis </w:t>
      </w:r>
      <w:r>
        <w:rPr>
          <w:color w:val="000000" w:themeColor="text1"/>
          <w:sz w:val="24"/>
          <w:szCs w:val="24"/>
          <w14:textFill>
            <w14:solidFill>
              <w14:schemeClr w14:val="tx1"/>
            </w14:solidFill>
          </w14:textFill>
        </w:rPr>
        <w:t>no endereço eletrônico xxx, e em conformidade com as disposições a seguir:</w:t>
      </w:r>
    </w:p>
    <w:p w14:paraId="0174BEB2">
      <w:pPr>
        <w:pStyle w:val="97"/>
        <w:spacing w:before="0" w:beforeAutospacing="0" w:after="0" w:afterAutospacing="0" w:line="288" w:lineRule="auto"/>
        <w:ind w:right="-1"/>
        <w:contextualSpacing/>
        <w:jc w:val="both"/>
        <w:rPr>
          <w:color w:val="000000" w:themeColor="text1"/>
          <w14:textFill>
            <w14:solidFill>
              <w14:schemeClr w14:val="tx1"/>
            </w14:solidFill>
          </w14:textFill>
        </w:rPr>
      </w:pPr>
    </w:p>
    <w:p w14:paraId="76C47100">
      <w:pPr>
        <w:pStyle w:val="97"/>
        <w:spacing w:before="0" w:beforeAutospacing="0" w:after="0" w:afterAutospacing="0" w:line="288" w:lineRule="auto"/>
        <w:ind w:right="-1"/>
        <w:contextualSpacing/>
        <w:jc w:val="both"/>
        <w:rPr>
          <w:b/>
          <w:bCs/>
        </w:rPr>
      </w:pPr>
      <w:r>
        <w:rPr>
          <w:b/>
          <w:bCs/>
        </w:rPr>
        <w:t xml:space="preserve">CLÁUSULA PRIMEIRA: OBJETO </w:t>
      </w:r>
    </w:p>
    <w:p w14:paraId="04A6C3D3">
      <w:pPr>
        <w:pStyle w:val="97"/>
        <w:spacing w:before="0" w:beforeAutospacing="0" w:after="0" w:afterAutospacing="0" w:line="288" w:lineRule="auto"/>
        <w:ind w:right="-1"/>
        <w:contextualSpacing/>
        <w:jc w:val="both"/>
        <w:rPr>
          <w:b/>
          <w:bCs/>
        </w:rPr>
      </w:pPr>
    </w:p>
    <w:p w14:paraId="2221E1C7">
      <w:pPr>
        <w:pStyle w:val="77"/>
        <w:spacing w:line="36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1.1 Aquisição de veículo de 7 (sete) lugares, tipo SUV, conforme condições e especificações contidas no Termo de Referência.</w:t>
      </w:r>
    </w:p>
    <w:p w14:paraId="14BA66D1">
      <w:pPr>
        <w:pStyle w:val="77"/>
        <w:spacing w:line="360" w:lineRule="auto"/>
        <w:ind w:left="360"/>
        <w:jc w:val="both"/>
        <w:rPr>
          <w:rFonts w:ascii="Times New Roman" w:hAnsi="Times New Roman" w:cs="Times New Roman"/>
          <w:sz w:val="24"/>
          <w:szCs w:val="24"/>
        </w:rPr>
      </w:pPr>
    </w:p>
    <w:p w14:paraId="742F58E6">
      <w:pPr>
        <w:pStyle w:val="99"/>
        <w:numPr>
          <w:ilvl w:val="1"/>
          <w:numId w:val="0"/>
        </w:numPr>
        <w:autoSpaceDE w:val="0"/>
        <w:autoSpaceDN w:val="0"/>
        <w:adjustRightInd w:val="0"/>
        <w:spacing w:line="288" w:lineRule="auto"/>
        <w:contextualSpacing/>
        <w:rPr>
          <w:rFonts w:ascii="Times New Roman" w:hAnsi="Times New Roman" w:cs="Times New Roman"/>
          <w:b/>
          <w:bCs/>
          <w:sz w:val="24"/>
          <w:szCs w:val="24"/>
        </w:rPr>
      </w:pPr>
      <w:r>
        <w:rPr>
          <w:rFonts w:ascii="Times New Roman" w:hAnsi="Times New Roman" w:cs="Times New Roman"/>
          <w:b/>
          <w:bCs/>
          <w:sz w:val="24"/>
          <w:szCs w:val="24"/>
        </w:rPr>
        <w:t xml:space="preserve">CLÁUSULA SEGUNDA: DA ATA DE REGISTRO DE PREÇOS   </w:t>
      </w:r>
    </w:p>
    <w:p w14:paraId="577253A8">
      <w:pPr>
        <w:pStyle w:val="99"/>
        <w:numPr>
          <w:ilvl w:val="1"/>
          <w:numId w:val="0"/>
        </w:numPr>
        <w:autoSpaceDE w:val="0"/>
        <w:autoSpaceDN w:val="0"/>
        <w:adjustRightInd w:val="0"/>
        <w:spacing w:line="288" w:lineRule="auto"/>
        <w:contextualSpacing/>
        <w:rPr>
          <w:rFonts w:ascii="Times New Roman" w:hAnsi="Times New Roman" w:cs="Times New Roman"/>
          <w:sz w:val="24"/>
          <w:szCs w:val="24"/>
        </w:rPr>
      </w:pPr>
    </w:p>
    <w:p w14:paraId="536A7C42">
      <w:pPr>
        <w:pStyle w:val="77"/>
        <w:spacing w:line="360" w:lineRule="auto"/>
        <w:jc w:val="both"/>
        <w:rPr>
          <w:rFonts w:ascii="Times New Roman" w:hAnsi="Times New Roman" w:cs="Times New Roman"/>
          <w:color w:val="000000"/>
          <w:sz w:val="24"/>
          <w:szCs w:val="24"/>
        </w:rPr>
      </w:pPr>
      <w:r>
        <w:rPr>
          <w:rFonts w:ascii="Times New Roman" w:hAnsi="Times New Roman" w:cs="Times New Roman"/>
          <w:sz w:val="24"/>
          <w:szCs w:val="24"/>
        </w:rPr>
        <w:t xml:space="preserve">2.1 </w:t>
      </w:r>
      <w:r>
        <w:rPr>
          <w:rFonts w:ascii="Times New Roman" w:hAnsi="Times New Roman" w:cs="Times New Roman"/>
          <w:color w:val="000000"/>
          <w:sz w:val="24"/>
          <w:szCs w:val="24"/>
        </w:rPr>
        <w:t>Aquisição de veículo de 7 (sete) lugares, tipo SUV, conforme condições e especificações contidas no Termo de Referência.</w:t>
      </w:r>
    </w:p>
    <w:p w14:paraId="3F76A2DF">
      <w:pPr>
        <w:pStyle w:val="77"/>
        <w:spacing w:line="360" w:lineRule="auto"/>
        <w:jc w:val="both"/>
        <w:rPr>
          <w:rFonts w:ascii="Times New Roman" w:hAnsi="Times New Roman" w:cs="Times New Roman"/>
          <w:sz w:val="24"/>
          <w:szCs w:val="24"/>
        </w:rPr>
      </w:pPr>
    </w:p>
    <w:p w14:paraId="52D57E5A">
      <w:pPr>
        <w:spacing w:line="288" w:lineRule="auto"/>
        <w:contextualSpacing/>
        <w:jc w:val="both"/>
        <w:rPr>
          <w:b/>
          <w:sz w:val="24"/>
          <w:szCs w:val="24"/>
        </w:rPr>
      </w:pPr>
      <w:r>
        <w:rPr>
          <w:sz w:val="24"/>
          <w:szCs w:val="24"/>
        </w:rPr>
        <w:t xml:space="preserve">2.2 A contratação com o fornecedor registrado não é obrigatória e será realizada de acordo com a necessidade do </w:t>
      </w:r>
      <w:r>
        <w:rPr>
          <w:bCs/>
          <w:sz w:val="24"/>
          <w:szCs w:val="24"/>
        </w:rPr>
        <w:t>gerenciador e dos participantes, quando houver,</w:t>
      </w:r>
      <w:r>
        <w:rPr>
          <w:b/>
          <w:sz w:val="24"/>
          <w:szCs w:val="24"/>
        </w:rPr>
        <w:t xml:space="preserve"> </w:t>
      </w:r>
      <w:r>
        <w:rPr>
          <w:sz w:val="24"/>
          <w:szCs w:val="24"/>
        </w:rPr>
        <w:t>e de acordo com o quantitativo indicado na cláusula quinta</w:t>
      </w:r>
      <w:r>
        <w:rPr>
          <w:b/>
          <w:sz w:val="24"/>
          <w:szCs w:val="24"/>
        </w:rPr>
        <w:t>.</w:t>
      </w:r>
    </w:p>
    <w:p w14:paraId="635D1EB5">
      <w:pPr>
        <w:spacing w:line="288" w:lineRule="auto"/>
        <w:contextualSpacing/>
        <w:jc w:val="both"/>
        <w:rPr>
          <w:b/>
          <w:sz w:val="24"/>
          <w:szCs w:val="24"/>
        </w:rPr>
      </w:pPr>
    </w:p>
    <w:p w14:paraId="066FE1B2">
      <w:pPr>
        <w:autoSpaceDE w:val="0"/>
        <w:autoSpaceDN w:val="0"/>
        <w:adjustRightInd w:val="0"/>
        <w:spacing w:line="288" w:lineRule="auto"/>
        <w:contextualSpacing/>
        <w:jc w:val="both"/>
        <w:rPr>
          <w:sz w:val="24"/>
          <w:szCs w:val="24"/>
        </w:rPr>
      </w:pPr>
      <w:r>
        <w:rPr>
          <w:bCs/>
          <w:sz w:val="24"/>
          <w:szCs w:val="24"/>
        </w:rPr>
        <w:t xml:space="preserve">2.3 </w:t>
      </w:r>
      <w:r>
        <w:rPr>
          <w:sz w:val="24"/>
          <w:szCs w:val="24"/>
        </w:rPr>
        <w:t xml:space="preserve">A Administração poderá realizar </w:t>
      </w:r>
      <w:r>
        <w:rPr>
          <w:color w:val="231F20"/>
          <w:sz w:val="24"/>
          <w:szCs w:val="24"/>
        </w:rPr>
        <w:t xml:space="preserve">licitação ou contratação direta </w:t>
      </w:r>
      <w:r>
        <w:rPr>
          <w:sz w:val="24"/>
          <w:szCs w:val="24"/>
        </w:rPr>
        <w:t>para</w:t>
      </w:r>
      <w:r>
        <w:rPr>
          <w:color w:val="231F20"/>
          <w:sz w:val="24"/>
          <w:szCs w:val="24"/>
        </w:rPr>
        <w:t xml:space="preserve"> a aquisição de mesmo objeto da presente Ata,</w:t>
      </w:r>
      <w:r>
        <w:rPr>
          <w:sz w:val="24"/>
          <w:szCs w:val="24"/>
        </w:rPr>
        <w:t xml:space="preserve"> desde que devidamente motivada, observado o disposto no art. 26, parágrafo único, do Decreto nº 46/2025</w:t>
      </w:r>
      <w:r>
        <w:rPr>
          <w:color w:val="231F20"/>
          <w:sz w:val="24"/>
          <w:szCs w:val="24"/>
        </w:rPr>
        <w:t>.</w:t>
      </w:r>
      <w:r>
        <w:rPr>
          <w:sz w:val="24"/>
          <w:szCs w:val="24"/>
        </w:rPr>
        <w:t xml:space="preserve"> </w:t>
      </w:r>
    </w:p>
    <w:p w14:paraId="0D321846">
      <w:pPr>
        <w:spacing w:line="288" w:lineRule="auto"/>
        <w:contextualSpacing/>
        <w:jc w:val="both"/>
        <w:rPr>
          <w:sz w:val="24"/>
          <w:szCs w:val="24"/>
        </w:rPr>
      </w:pPr>
    </w:p>
    <w:p w14:paraId="55D9E828">
      <w:pPr>
        <w:spacing w:line="288" w:lineRule="auto"/>
        <w:contextualSpacing/>
        <w:jc w:val="both"/>
        <w:rPr>
          <w:color w:val="231F20"/>
          <w:sz w:val="24"/>
          <w:szCs w:val="24"/>
        </w:rPr>
      </w:pPr>
      <w:r>
        <w:rPr>
          <w:rFonts w:eastAsia="Arial"/>
          <w:bCs/>
          <w:sz w:val="24"/>
          <w:szCs w:val="24"/>
        </w:rPr>
        <w:t>2.4 Esta</w:t>
      </w:r>
      <w:r>
        <w:rPr>
          <w:bCs/>
          <w:sz w:val="24"/>
          <w:szCs w:val="24"/>
        </w:rPr>
        <w:t xml:space="preserve"> </w:t>
      </w:r>
      <w:r>
        <w:rPr>
          <w:sz w:val="24"/>
          <w:szCs w:val="24"/>
        </w:rPr>
        <w:t xml:space="preserve">Ata de Registro de Preços, com a indicação do </w:t>
      </w:r>
      <w:r>
        <w:rPr>
          <w:color w:val="231F20"/>
          <w:sz w:val="24"/>
          <w:szCs w:val="24"/>
        </w:rPr>
        <w:t xml:space="preserve">preço registrado e dos fornecedores, será divulgada no </w:t>
      </w:r>
      <w:r>
        <w:rPr>
          <w:sz w:val="24"/>
          <w:szCs w:val="24"/>
        </w:rPr>
        <w:t xml:space="preserve">Portal Nacional de Contratações Públicas – PNCP e no </w:t>
      </w:r>
      <w:r>
        <w:rPr>
          <w:color w:val="231F20"/>
          <w:sz w:val="24"/>
          <w:szCs w:val="24"/>
        </w:rPr>
        <w:t>Site da Prefeitura de Valença.</w:t>
      </w:r>
    </w:p>
    <w:p w14:paraId="23AC1F40">
      <w:pPr>
        <w:spacing w:line="288" w:lineRule="auto"/>
        <w:contextualSpacing/>
        <w:jc w:val="both"/>
        <w:rPr>
          <w:color w:val="231F20"/>
          <w:sz w:val="24"/>
          <w:szCs w:val="24"/>
        </w:rPr>
      </w:pPr>
    </w:p>
    <w:p w14:paraId="1D379020">
      <w:pPr>
        <w:spacing w:line="288" w:lineRule="auto"/>
        <w:contextualSpacing/>
        <w:jc w:val="both"/>
        <w:rPr>
          <w:rFonts w:eastAsia="Arial"/>
          <w:b/>
          <w:sz w:val="24"/>
          <w:szCs w:val="24"/>
        </w:rPr>
      </w:pPr>
      <w:r>
        <w:rPr>
          <w:b/>
          <w:bCs/>
          <w:sz w:val="24"/>
          <w:szCs w:val="24"/>
        </w:rPr>
        <w:t>CLÁUSULA TERCEIRA:</w:t>
      </w:r>
      <w:r>
        <w:rPr>
          <w:sz w:val="24"/>
          <w:szCs w:val="24"/>
        </w:rPr>
        <w:t xml:space="preserve"> </w:t>
      </w:r>
      <w:r>
        <w:rPr>
          <w:b/>
          <w:bCs/>
          <w:sz w:val="24"/>
          <w:szCs w:val="24"/>
        </w:rPr>
        <w:t>DO FORNECEDOR,</w:t>
      </w:r>
      <w:r>
        <w:rPr>
          <w:sz w:val="24"/>
          <w:szCs w:val="24"/>
        </w:rPr>
        <w:t xml:space="preserve"> </w:t>
      </w:r>
      <w:r>
        <w:rPr>
          <w:rFonts w:eastAsia="Arial"/>
          <w:b/>
          <w:sz w:val="24"/>
          <w:szCs w:val="24"/>
        </w:rPr>
        <w:t xml:space="preserve">DO GERENCIADOR, DOS PARTICIPANTES E DAS ATRIBUIÇÕES  </w:t>
      </w:r>
    </w:p>
    <w:p w14:paraId="77A0E61A">
      <w:pPr>
        <w:spacing w:line="288" w:lineRule="auto"/>
        <w:contextualSpacing/>
        <w:jc w:val="both"/>
        <w:rPr>
          <w:rFonts w:eastAsia="Arial"/>
          <w:sz w:val="24"/>
          <w:szCs w:val="24"/>
        </w:rPr>
      </w:pPr>
    </w:p>
    <w:p w14:paraId="72A86269">
      <w:pPr>
        <w:spacing w:line="288" w:lineRule="auto"/>
        <w:contextualSpacing/>
        <w:jc w:val="both"/>
        <w:rPr>
          <w:rFonts w:eastAsia="Arial"/>
          <w:sz w:val="24"/>
          <w:szCs w:val="24"/>
        </w:rPr>
      </w:pPr>
      <w:r>
        <w:rPr>
          <w:rFonts w:eastAsia="Arial"/>
          <w:sz w:val="24"/>
          <w:szCs w:val="24"/>
        </w:rPr>
        <w:t xml:space="preserve">3.1 O fornecedor desta Ata de Registro de Preços é </w:t>
      </w:r>
      <w:r>
        <w:rPr>
          <w:rFonts w:eastAsia="Arial"/>
          <w:color w:val="FF0000"/>
          <w:sz w:val="24"/>
          <w:szCs w:val="24"/>
        </w:rPr>
        <w:t>...................</w:t>
      </w:r>
      <w:r>
        <w:rPr>
          <w:sz w:val="24"/>
          <w:szCs w:val="24"/>
        </w:rPr>
        <w:t>, na forma do Anexo I – Consolidação das Informações da Ata de Registro de Preços.</w:t>
      </w:r>
    </w:p>
    <w:p w14:paraId="40D456CC">
      <w:pPr>
        <w:spacing w:line="288" w:lineRule="auto"/>
        <w:contextualSpacing/>
        <w:jc w:val="both"/>
        <w:rPr>
          <w:rFonts w:eastAsia="Arial"/>
          <w:sz w:val="24"/>
          <w:szCs w:val="24"/>
        </w:rPr>
      </w:pPr>
    </w:p>
    <w:p w14:paraId="2D12A54E">
      <w:pPr>
        <w:spacing w:line="288" w:lineRule="auto"/>
        <w:contextualSpacing/>
        <w:jc w:val="both"/>
        <w:rPr>
          <w:sz w:val="24"/>
          <w:szCs w:val="24"/>
          <w:highlight w:val="yellow"/>
        </w:rPr>
      </w:pPr>
      <w:r>
        <w:rPr>
          <w:rFonts w:eastAsia="Arial"/>
          <w:sz w:val="24"/>
          <w:szCs w:val="24"/>
        </w:rPr>
        <w:t xml:space="preserve">3.1.1 </w:t>
      </w:r>
      <w:r>
        <w:rPr>
          <w:sz w:val="24"/>
          <w:szCs w:val="24"/>
        </w:rPr>
        <w:t xml:space="preserve">O fornecedor registrado deverá manter durante toda a vigência da Ata de Registro de Preços a compatibilidade com as obrigações assumidas, assim como todas as condições exigidas </w:t>
      </w:r>
      <w:r>
        <w:rPr>
          <w:rFonts w:eastAsia="Arial"/>
          <w:sz w:val="24"/>
          <w:szCs w:val="24"/>
        </w:rPr>
        <w:t xml:space="preserve">no </w:t>
      </w:r>
      <w:r>
        <w:rPr>
          <w:sz w:val="24"/>
          <w:szCs w:val="24"/>
        </w:rPr>
        <w:t>instrumento convocatório, quando houver,</w:t>
      </w:r>
      <w:r>
        <w:rPr>
          <w:rFonts w:eastAsia="Arial"/>
          <w:sz w:val="24"/>
          <w:szCs w:val="24"/>
        </w:rPr>
        <w:t xml:space="preserve"> e no Termo de Referência</w:t>
      </w:r>
      <w:r>
        <w:rPr>
          <w:sz w:val="24"/>
          <w:szCs w:val="24"/>
        </w:rPr>
        <w:t>, inclusive as referentes à habilitação e às condições de participação.</w:t>
      </w:r>
      <w:r>
        <w:rPr>
          <w:sz w:val="24"/>
          <w:szCs w:val="24"/>
          <w:highlight w:val="yellow"/>
        </w:rPr>
        <w:t xml:space="preserve"> </w:t>
      </w:r>
    </w:p>
    <w:p w14:paraId="3F5C68F8">
      <w:pPr>
        <w:spacing w:line="288" w:lineRule="auto"/>
        <w:contextualSpacing/>
        <w:jc w:val="both"/>
        <w:rPr>
          <w:rFonts w:eastAsia="Arial"/>
          <w:sz w:val="24"/>
          <w:szCs w:val="24"/>
        </w:rPr>
      </w:pPr>
    </w:p>
    <w:p w14:paraId="5733BE72">
      <w:pPr>
        <w:spacing w:line="288" w:lineRule="auto"/>
        <w:contextualSpacing/>
        <w:jc w:val="both"/>
        <w:rPr>
          <w:rFonts w:eastAsia="Arial"/>
          <w:sz w:val="24"/>
          <w:szCs w:val="24"/>
        </w:rPr>
      </w:pPr>
      <w:r>
        <w:rPr>
          <w:rFonts w:eastAsia="Arial"/>
          <w:sz w:val="24"/>
          <w:szCs w:val="24"/>
        </w:rPr>
        <w:t xml:space="preserve">3.2 O </w:t>
      </w:r>
      <w:r>
        <w:rPr>
          <w:rFonts w:eastAsia="Arial"/>
          <w:bCs/>
          <w:sz w:val="24"/>
          <w:szCs w:val="24"/>
        </w:rPr>
        <w:t>gerenciador</w:t>
      </w:r>
      <w:r>
        <w:rPr>
          <w:rFonts w:eastAsia="Arial"/>
          <w:b/>
          <w:sz w:val="24"/>
          <w:szCs w:val="24"/>
        </w:rPr>
        <w:t xml:space="preserve"> </w:t>
      </w:r>
      <w:r>
        <w:rPr>
          <w:rFonts w:eastAsia="Arial"/>
          <w:sz w:val="24"/>
          <w:szCs w:val="24"/>
        </w:rPr>
        <w:t>desta Ata de Registro de Preços é a Secretaria Municipal de Assistência, Esporte e Envelhecimento saudável</w:t>
      </w:r>
      <w:r>
        <w:rPr>
          <w:sz w:val="24"/>
          <w:szCs w:val="24"/>
        </w:rPr>
        <w:t>.</w:t>
      </w:r>
    </w:p>
    <w:p w14:paraId="771DF8C6">
      <w:pPr>
        <w:spacing w:line="288" w:lineRule="auto"/>
        <w:contextualSpacing/>
        <w:jc w:val="both"/>
        <w:rPr>
          <w:rFonts w:eastAsia="Arial"/>
          <w:bCs/>
          <w:sz w:val="24"/>
          <w:szCs w:val="24"/>
        </w:rPr>
      </w:pPr>
    </w:p>
    <w:p w14:paraId="53DDAA35">
      <w:pPr>
        <w:spacing w:line="288" w:lineRule="auto"/>
        <w:contextualSpacing/>
        <w:jc w:val="both"/>
        <w:rPr>
          <w:rFonts w:eastAsia="Arial"/>
          <w:bCs/>
          <w:sz w:val="24"/>
          <w:szCs w:val="24"/>
        </w:rPr>
      </w:pPr>
      <w:r>
        <w:rPr>
          <w:rFonts w:eastAsia="Arial"/>
          <w:bCs/>
          <w:sz w:val="24"/>
          <w:szCs w:val="24"/>
        </w:rPr>
        <w:t>3.2.1 São atribuições do gerenciador:</w:t>
      </w:r>
    </w:p>
    <w:p w14:paraId="79D78AD8">
      <w:pPr>
        <w:spacing w:line="288" w:lineRule="auto"/>
        <w:contextualSpacing/>
        <w:jc w:val="both"/>
        <w:rPr>
          <w:rFonts w:eastAsia="Arial"/>
          <w:bCs/>
          <w:sz w:val="24"/>
          <w:szCs w:val="24"/>
        </w:rPr>
      </w:pPr>
    </w:p>
    <w:p w14:paraId="5CF66745">
      <w:pPr>
        <w:spacing w:line="288" w:lineRule="auto"/>
        <w:contextualSpacing/>
        <w:jc w:val="both"/>
        <w:rPr>
          <w:sz w:val="24"/>
          <w:szCs w:val="24"/>
        </w:rPr>
      </w:pPr>
      <w:r>
        <w:rPr>
          <w:sz w:val="24"/>
          <w:szCs w:val="24"/>
        </w:rPr>
        <w:t>a) aferir, semestralmente, a compatibilidade dos preços registrados com os efetivamente praticados;</w:t>
      </w:r>
    </w:p>
    <w:p w14:paraId="73E4A3FF">
      <w:pPr>
        <w:spacing w:line="288" w:lineRule="auto"/>
        <w:contextualSpacing/>
        <w:jc w:val="both"/>
        <w:rPr>
          <w:sz w:val="24"/>
          <w:szCs w:val="24"/>
        </w:rPr>
      </w:pPr>
    </w:p>
    <w:p w14:paraId="257456FD">
      <w:pPr>
        <w:spacing w:line="288" w:lineRule="auto"/>
        <w:contextualSpacing/>
        <w:jc w:val="both"/>
        <w:rPr>
          <w:sz w:val="24"/>
          <w:szCs w:val="24"/>
        </w:rPr>
      </w:pPr>
      <w:r>
        <w:rPr>
          <w:sz w:val="24"/>
          <w:szCs w:val="24"/>
        </w:rPr>
        <w:t xml:space="preserve">b) divulgar os preços registrados e suas atualizações no Portal da Prefeitura Municipal de Valença; </w:t>
      </w:r>
    </w:p>
    <w:p w14:paraId="7B39EA5E">
      <w:pPr>
        <w:spacing w:line="288" w:lineRule="auto"/>
        <w:contextualSpacing/>
        <w:jc w:val="both"/>
        <w:rPr>
          <w:sz w:val="24"/>
          <w:szCs w:val="24"/>
        </w:rPr>
      </w:pPr>
    </w:p>
    <w:p w14:paraId="77E11CC5">
      <w:pPr>
        <w:spacing w:line="288" w:lineRule="auto"/>
        <w:contextualSpacing/>
        <w:jc w:val="both"/>
        <w:rPr>
          <w:sz w:val="24"/>
          <w:szCs w:val="24"/>
        </w:rPr>
      </w:pPr>
      <w:r>
        <w:rPr>
          <w:sz w:val="24"/>
          <w:szCs w:val="24"/>
        </w:rPr>
        <w:t xml:space="preserve">c) praticar todos os atos de controle e gerenciamento dos quantitativos das Atas de Registro de Preços e de seus saldos, das solicitações de adesão e do remanejamento das quantidades; </w:t>
      </w:r>
    </w:p>
    <w:p w14:paraId="12199EE4">
      <w:pPr>
        <w:spacing w:line="288" w:lineRule="auto"/>
        <w:contextualSpacing/>
        <w:jc w:val="both"/>
        <w:rPr>
          <w:sz w:val="24"/>
          <w:szCs w:val="24"/>
        </w:rPr>
      </w:pPr>
    </w:p>
    <w:p w14:paraId="7BF144E6">
      <w:pPr>
        <w:spacing w:line="288" w:lineRule="auto"/>
        <w:contextualSpacing/>
        <w:jc w:val="both"/>
        <w:rPr>
          <w:sz w:val="24"/>
          <w:szCs w:val="24"/>
        </w:rPr>
      </w:pPr>
      <w:r>
        <w:rPr>
          <w:sz w:val="24"/>
          <w:szCs w:val="24"/>
        </w:rPr>
        <w:t xml:space="preserve">d) gerenciar a Ata de Registro de Preços, providenciando a indicação, sempre que solicitado, dos fornecedores registrados para atendimento às necessidades do órgão ou entidade, obedecendo à ordem de classificação do certame e os quantitativos de contratação definidos pelos participantes da respectiva ata; </w:t>
      </w:r>
    </w:p>
    <w:p w14:paraId="71ED34F8">
      <w:pPr>
        <w:spacing w:line="288" w:lineRule="auto"/>
        <w:contextualSpacing/>
        <w:jc w:val="both"/>
        <w:rPr>
          <w:sz w:val="24"/>
          <w:szCs w:val="24"/>
        </w:rPr>
      </w:pPr>
    </w:p>
    <w:p w14:paraId="34161364">
      <w:pPr>
        <w:spacing w:line="288" w:lineRule="auto"/>
        <w:contextualSpacing/>
        <w:jc w:val="both"/>
        <w:rPr>
          <w:sz w:val="24"/>
          <w:szCs w:val="24"/>
        </w:rPr>
      </w:pPr>
      <w:r>
        <w:rPr>
          <w:sz w:val="24"/>
          <w:szCs w:val="24"/>
        </w:rPr>
        <w:t xml:space="preserve">e) deliberar quanto à adesão posterior de órgãos e entidades que não manifestaram interesse em participar do registro de preços durante o período de divulgação da Intenção de Registro de Preços; </w:t>
      </w:r>
    </w:p>
    <w:p w14:paraId="4DF2C290">
      <w:pPr>
        <w:spacing w:line="288" w:lineRule="auto"/>
        <w:contextualSpacing/>
        <w:jc w:val="both"/>
        <w:rPr>
          <w:sz w:val="24"/>
          <w:szCs w:val="24"/>
        </w:rPr>
      </w:pPr>
    </w:p>
    <w:p w14:paraId="751EE2FB">
      <w:pPr>
        <w:spacing w:line="288" w:lineRule="auto"/>
        <w:contextualSpacing/>
        <w:jc w:val="both"/>
        <w:rPr>
          <w:sz w:val="24"/>
          <w:szCs w:val="24"/>
        </w:rPr>
      </w:pPr>
      <w:r>
        <w:rPr>
          <w:sz w:val="24"/>
          <w:szCs w:val="24"/>
        </w:rPr>
        <w:t xml:space="preserve">f) convocar os proponentes remanescentes, nas hipóteses autorizadas por esta Ata e pelo Decreto nº 46/2025, observada a ordem de classificação; </w:t>
      </w:r>
    </w:p>
    <w:p w14:paraId="3CF69AC4">
      <w:pPr>
        <w:spacing w:line="288" w:lineRule="auto"/>
        <w:contextualSpacing/>
        <w:jc w:val="both"/>
        <w:rPr>
          <w:sz w:val="24"/>
          <w:szCs w:val="24"/>
        </w:rPr>
      </w:pPr>
    </w:p>
    <w:p w14:paraId="5B9C141D">
      <w:pPr>
        <w:spacing w:line="288" w:lineRule="auto"/>
        <w:contextualSpacing/>
        <w:jc w:val="both"/>
        <w:rPr>
          <w:rFonts w:eastAsia="Arial"/>
          <w:bCs/>
          <w:sz w:val="24"/>
          <w:szCs w:val="24"/>
        </w:rPr>
      </w:pPr>
      <w:r>
        <w:rPr>
          <w:sz w:val="24"/>
          <w:szCs w:val="24"/>
        </w:rPr>
        <w:t>g) conduzir as alterações ou as atualizações dos preços registrados; e</w:t>
      </w:r>
    </w:p>
    <w:p w14:paraId="0DBC7E3F">
      <w:pPr>
        <w:spacing w:line="288" w:lineRule="auto"/>
        <w:contextualSpacing/>
        <w:jc w:val="both"/>
        <w:rPr>
          <w:sz w:val="24"/>
          <w:szCs w:val="24"/>
        </w:rPr>
      </w:pPr>
    </w:p>
    <w:p w14:paraId="1343E4F8">
      <w:pPr>
        <w:spacing w:line="288" w:lineRule="auto"/>
        <w:contextualSpacing/>
        <w:jc w:val="both"/>
        <w:rPr>
          <w:rFonts w:eastAsia="Arial"/>
          <w:bCs/>
          <w:sz w:val="24"/>
          <w:szCs w:val="24"/>
        </w:rPr>
      </w:pPr>
      <w:r>
        <w:rPr>
          <w:sz w:val="24"/>
          <w:szCs w:val="24"/>
        </w:rPr>
        <w:t>h) promover a correta gestão, fiscalização e execução contratual, nos termos do Capítulo VI do Título III da Lei nº 14.133, de 1º de abril de 2021, do disposto no Decreto nº 40, de 25 de fevereiro de 2025, no Termo de Referência e no contrato, com relação às suas próprias contratações.</w:t>
      </w:r>
    </w:p>
    <w:p w14:paraId="2EB3CCC5">
      <w:pPr>
        <w:spacing w:line="288" w:lineRule="auto"/>
        <w:contextualSpacing/>
        <w:jc w:val="both"/>
        <w:rPr>
          <w:rFonts w:eastAsia="Arial"/>
          <w:bCs/>
          <w:sz w:val="24"/>
          <w:szCs w:val="24"/>
        </w:rPr>
      </w:pPr>
    </w:p>
    <w:p w14:paraId="42C370C4">
      <w:pPr>
        <w:spacing w:line="288" w:lineRule="auto"/>
        <w:ind w:right="565"/>
        <w:contextualSpacing/>
        <w:jc w:val="both"/>
        <w:rPr>
          <w:bCs/>
          <w:color w:val="000000" w:themeColor="text1"/>
          <w:sz w:val="24"/>
          <w:szCs w:val="24"/>
          <w14:textFill>
            <w14:solidFill>
              <w14:schemeClr w14:val="tx1"/>
            </w14:solidFill>
          </w14:textFill>
        </w:rPr>
      </w:pPr>
      <w:r>
        <w:rPr>
          <w:rFonts w:eastAsia="Arial"/>
          <w:bCs/>
          <w:color w:val="000000" w:themeColor="text1"/>
          <w:sz w:val="24"/>
          <w:szCs w:val="24"/>
          <w14:textFill>
            <w14:solidFill>
              <w14:schemeClr w14:val="tx1"/>
            </w14:solidFill>
          </w14:textFill>
        </w:rPr>
        <w:t>3.3</w:t>
      </w:r>
      <w:r>
        <w:rPr>
          <w:rFonts w:eastAsia="Arial"/>
          <w:b/>
          <w:color w:val="000000" w:themeColor="text1"/>
          <w:sz w:val="24"/>
          <w:szCs w:val="24"/>
          <w14:textFill>
            <w14:solidFill>
              <w14:schemeClr w14:val="tx1"/>
            </w14:solidFill>
          </w14:textFill>
        </w:rPr>
        <w:t xml:space="preserve"> </w:t>
      </w:r>
      <w:r>
        <w:rPr>
          <w:bCs/>
          <w:color w:val="000000" w:themeColor="text1"/>
          <w:sz w:val="24"/>
          <w:szCs w:val="24"/>
          <w14:textFill>
            <w14:solidFill>
              <w14:schemeClr w14:val="tx1"/>
            </w14:solidFill>
          </w14:textFill>
        </w:rPr>
        <w:t>3.3 Não há órgãos/entidades participantes nesta Ata.</w:t>
      </w:r>
    </w:p>
    <w:p w14:paraId="5EC9E8D1">
      <w:pPr>
        <w:spacing w:line="288" w:lineRule="auto"/>
        <w:ind w:right="565"/>
        <w:contextualSpacing/>
        <w:jc w:val="both"/>
        <w:rPr>
          <w:bCs/>
          <w:color w:val="000000" w:themeColor="text1"/>
          <w:sz w:val="24"/>
          <w:szCs w:val="24"/>
          <w14:textFill>
            <w14:solidFill>
              <w14:schemeClr w14:val="tx1"/>
            </w14:solidFill>
          </w14:textFill>
        </w:rPr>
      </w:pPr>
    </w:p>
    <w:p w14:paraId="02F57D0F">
      <w:pPr>
        <w:spacing w:line="288" w:lineRule="auto"/>
        <w:contextualSpacing/>
        <w:jc w:val="both"/>
        <w:rPr>
          <w:rFonts w:eastAsia="Arial"/>
          <w:b/>
          <w:sz w:val="24"/>
          <w:szCs w:val="24"/>
        </w:rPr>
      </w:pPr>
      <w:r>
        <w:rPr>
          <w:b/>
          <w:bCs/>
          <w:color w:val="231F20"/>
          <w:sz w:val="24"/>
          <w:szCs w:val="24"/>
        </w:rPr>
        <w:t>CLÁUSULA QUARTA:</w:t>
      </w:r>
      <w:r>
        <w:rPr>
          <w:color w:val="231F20"/>
          <w:sz w:val="24"/>
          <w:szCs w:val="24"/>
        </w:rPr>
        <w:t xml:space="preserve"> </w:t>
      </w:r>
      <w:r>
        <w:rPr>
          <w:rFonts w:eastAsia="Arial"/>
          <w:b/>
          <w:sz w:val="24"/>
          <w:szCs w:val="24"/>
        </w:rPr>
        <w:t>DOS NÃO-PARTICIPANTES</w:t>
      </w:r>
    </w:p>
    <w:p w14:paraId="1ECB67D7">
      <w:pPr>
        <w:spacing w:line="288" w:lineRule="auto"/>
        <w:contextualSpacing/>
        <w:jc w:val="both"/>
        <w:rPr>
          <w:rFonts w:eastAsia="Arial"/>
          <w:bCs/>
          <w:sz w:val="24"/>
          <w:szCs w:val="24"/>
        </w:rPr>
      </w:pPr>
    </w:p>
    <w:p w14:paraId="7C5B7035">
      <w:pPr>
        <w:spacing w:line="288" w:lineRule="auto"/>
        <w:contextualSpacing/>
        <w:jc w:val="both"/>
        <w:rPr>
          <w:bCs/>
          <w:color w:val="231F20"/>
          <w:sz w:val="24"/>
          <w:szCs w:val="24"/>
        </w:rPr>
      </w:pPr>
      <w:r>
        <w:rPr>
          <w:rFonts w:eastAsia="Arial"/>
          <w:bCs/>
          <w:sz w:val="24"/>
          <w:szCs w:val="24"/>
        </w:rPr>
        <w:t xml:space="preserve">4.1 </w:t>
      </w:r>
      <w:r>
        <w:rPr>
          <w:color w:val="231F20"/>
          <w:sz w:val="24"/>
          <w:szCs w:val="24"/>
        </w:rPr>
        <w:t xml:space="preserve">A Ata de Registro de Preços poderá ser aderida por qualquer órgão ou entidade do Município, que não tenha participado </w:t>
      </w:r>
      <w:bookmarkStart w:id="45" w:name="_Hlk158816379"/>
      <w:r>
        <w:rPr>
          <w:color w:val="000000" w:themeColor="text1"/>
          <w:sz w:val="24"/>
          <w:szCs w:val="24"/>
          <w14:textFill>
            <w14:solidFill>
              <w14:schemeClr w14:val="tx1"/>
            </w14:solidFill>
          </w14:textFill>
        </w:rPr>
        <w:t>do certame</w:t>
      </w:r>
      <w:bookmarkEnd w:id="45"/>
      <w:r>
        <w:rPr>
          <w:color w:val="231F20"/>
          <w:sz w:val="24"/>
          <w:szCs w:val="24"/>
        </w:rPr>
        <w:t xml:space="preserve">, ora denominados </w:t>
      </w:r>
      <w:r>
        <w:rPr>
          <w:bCs/>
          <w:color w:val="231F20"/>
          <w:sz w:val="24"/>
          <w:szCs w:val="24"/>
        </w:rPr>
        <w:t xml:space="preserve">não-participantes.  </w:t>
      </w:r>
    </w:p>
    <w:p w14:paraId="5AEC8E93">
      <w:pPr>
        <w:spacing w:line="288" w:lineRule="auto"/>
        <w:contextualSpacing/>
        <w:jc w:val="both"/>
        <w:rPr>
          <w:bCs/>
          <w:color w:val="231F20"/>
          <w:sz w:val="24"/>
          <w:szCs w:val="24"/>
        </w:rPr>
      </w:pPr>
    </w:p>
    <w:p w14:paraId="402677D7">
      <w:pPr>
        <w:spacing w:line="288" w:lineRule="auto"/>
        <w:contextualSpacing/>
        <w:jc w:val="both"/>
        <w:rPr>
          <w:color w:val="231F20"/>
          <w:sz w:val="24"/>
          <w:szCs w:val="24"/>
        </w:rPr>
      </w:pPr>
      <w:r>
        <w:rPr>
          <w:rFonts w:eastAsia="Arial"/>
          <w:bCs/>
          <w:sz w:val="24"/>
          <w:szCs w:val="24"/>
        </w:rPr>
        <w:t>4.2</w:t>
      </w:r>
      <w:r>
        <w:rPr>
          <w:rFonts w:eastAsia="Arial"/>
          <w:b/>
          <w:sz w:val="24"/>
          <w:szCs w:val="24"/>
        </w:rPr>
        <w:t xml:space="preserve"> </w:t>
      </w:r>
      <w:r>
        <w:rPr>
          <w:color w:val="231F20"/>
          <w:sz w:val="24"/>
          <w:szCs w:val="24"/>
        </w:rPr>
        <w:t xml:space="preserve">Podem também ser considerados </w:t>
      </w:r>
      <w:r>
        <w:rPr>
          <w:bCs/>
          <w:color w:val="231F20"/>
          <w:sz w:val="24"/>
          <w:szCs w:val="24"/>
        </w:rPr>
        <w:t>não-participantes</w:t>
      </w:r>
      <w:r>
        <w:rPr>
          <w:b/>
          <w:color w:val="231F20"/>
          <w:sz w:val="24"/>
          <w:szCs w:val="24"/>
        </w:rPr>
        <w:t xml:space="preserve"> </w:t>
      </w:r>
      <w:r>
        <w:rPr>
          <w:color w:val="231F20"/>
          <w:sz w:val="24"/>
          <w:szCs w:val="24"/>
        </w:rPr>
        <w:t xml:space="preserve">os órgãos ou entidades municipais, distritais, de outros estados e federais, resguardadas as disposições de cada ente. </w:t>
      </w:r>
    </w:p>
    <w:p w14:paraId="1ED0562A">
      <w:pPr>
        <w:spacing w:line="288" w:lineRule="auto"/>
        <w:contextualSpacing/>
        <w:jc w:val="both"/>
        <w:rPr>
          <w:sz w:val="24"/>
          <w:szCs w:val="24"/>
        </w:rPr>
      </w:pPr>
    </w:p>
    <w:p w14:paraId="398641AE">
      <w:pPr>
        <w:spacing w:line="288" w:lineRule="auto"/>
        <w:contextualSpacing/>
        <w:jc w:val="both"/>
        <w:rPr>
          <w:color w:val="231F20"/>
          <w:sz w:val="24"/>
          <w:szCs w:val="24"/>
        </w:rPr>
      </w:pPr>
      <w:r>
        <w:rPr>
          <w:sz w:val="24"/>
          <w:szCs w:val="24"/>
        </w:rPr>
        <w:t xml:space="preserve">4.3 Os </w:t>
      </w:r>
      <w:r>
        <w:rPr>
          <w:bCs/>
          <w:color w:val="231F20"/>
          <w:sz w:val="24"/>
          <w:szCs w:val="24"/>
        </w:rPr>
        <w:t>não-participantes</w:t>
      </w:r>
      <w:r>
        <w:rPr>
          <w:sz w:val="24"/>
          <w:szCs w:val="24"/>
        </w:rPr>
        <w:t xml:space="preserve"> poderão aderir a esta Ata de Registro de Preços, desde que observados os seguintes requisitos, cumulativamente:</w:t>
      </w:r>
    </w:p>
    <w:p w14:paraId="6E92816E">
      <w:pPr>
        <w:tabs>
          <w:tab w:val="left" w:pos="497"/>
        </w:tabs>
        <w:spacing w:line="288" w:lineRule="auto"/>
        <w:contextualSpacing/>
        <w:jc w:val="both"/>
        <w:rPr>
          <w:sz w:val="24"/>
          <w:szCs w:val="24"/>
        </w:rPr>
      </w:pPr>
    </w:p>
    <w:p w14:paraId="057C5545">
      <w:pPr>
        <w:tabs>
          <w:tab w:val="left" w:pos="497"/>
        </w:tabs>
        <w:spacing w:line="288" w:lineRule="auto"/>
        <w:contextualSpacing/>
        <w:jc w:val="both"/>
        <w:rPr>
          <w:sz w:val="24"/>
          <w:szCs w:val="24"/>
        </w:rPr>
      </w:pPr>
      <w:r>
        <w:rPr>
          <w:sz w:val="24"/>
          <w:szCs w:val="24"/>
        </w:rPr>
        <w:t xml:space="preserve">4.3.1 apresentação de justificativa da vantagem da adesão, inclusive em situações de provável desabastecimento ou descontinuidade de serviço público; </w:t>
      </w:r>
    </w:p>
    <w:p w14:paraId="0DDFF8BC">
      <w:pPr>
        <w:tabs>
          <w:tab w:val="left" w:pos="497"/>
        </w:tabs>
        <w:spacing w:line="288" w:lineRule="auto"/>
        <w:contextualSpacing/>
        <w:jc w:val="both"/>
        <w:rPr>
          <w:sz w:val="24"/>
          <w:szCs w:val="24"/>
        </w:rPr>
      </w:pPr>
    </w:p>
    <w:p w14:paraId="6455EE68">
      <w:pPr>
        <w:tabs>
          <w:tab w:val="left" w:pos="497"/>
        </w:tabs>
        <w:spacing w:line="288" w:lineRule="auto"/>
        <w:contextualSpacing/>
        <w:jc w:val="both"/>
        <w:rPr>
          <w:sz w:val="24"/>
          <w:szCs w:val="24"/>
        </w:rPr>
      </w:pPr>
      <w:r>
        <w:rPr>
          <w:sz w:val="24"/>
          <w:szCs w:val="24"/>
        </w:rPr>
        <w:t xml:space="preserve">4.3.2 apresentação de estudo que demonstre eficiência, viabilidade e economicidade para a Administração contratante; </w:t>
      </w:r>
    </w:p>
    <w:p w14:paraId="4FA7E8C4">
      <w:pPr>
        <w:tabs>
          <w:tab w:val="left" w:pos="497"/>
        </w:tabs>
        <w:spacing w:line="288" w:lineRule="auto"/>
        <w:contextualSpacing/>
        <w:jc w:val="both"/>
        <w:rPr>
          <w:sz w:val="24"/>
          <w:szCs w:val="24"/>
        </w:rPr>
      </w:pPr>
    </w:p>
    <w:p w14:paraId="77999100">
      <w:pPr>
        <w:tabs>
          <w:tab w:val="left" w:pos="497"/>
        </w:tabs>
        <w:spacing w:line="288" w:lineRule="auto"/>
        <w:contextualSpacing/>
        <w:jc w:val="both"/>
        <w:rPr>
          <w:sz w:val="24"/>
          <w:szCs w:val="24"/>
        </w:rPr>
      </w:pPr>
      <w:r>
        <w:rPr>
          <w:sz w:val="24"/>
          <w:szCs w:val="24"/>
        </w:rPr>
        <w:t xml:space="preserve">4.3.3 demonstração de que os valores registrados estão compatíveis com os valores praticados pelo mercado, na forma do art. 23 da Lei nº 14.133/2021; e </w:t>
      </w:r>
    </w:p>
    <w:p w14:paraId="595C991F">
      <w:pPr>
        <w:tabs>
          <w:tab w:val="left" w:pos="497"/>
        </w:tabs>
        <w:spacing w:line="288" w:lineRule="auto"/>
        <w:contextualSpacing/>
        <w:jc w:val="both"/>
        <w:rPr>
          <w:sz w:val="24"/>
          <w:szCs w:val="24"/>
        </w:rPr>
      </w:pPr>
    </w:p>
    <w:p w14:paraId="506B184C">
      <w:pPr>
        <w:tabs>
          <w:tab w:val="left" w:pos="497"/>
        </w:tabs>
        <w:spacing w:line="288" w:lineRule="auto"/>
        <w:contextualSpacing/>
        <w:jc w:val="both"/>
        <w:rPr>
          <w:rFonts w:eastAsia="Arial"/>
          <w:sz w:val="24"/>
          <w:szCs w:val="24"/>
        </w:rPr>
      </w:pPr>
      <w:r>
        <w:rPr>
          <w:sz w:val="24"/>
          <w:szCs w:val="24"/>
        </w:rPr>
        <w:t xml:space="preserve">4.3.4 prévia consulta e aceitação do </w:t>
      </w:r>
      <w:r>
        <w:rPr>
          <w:bCs/>
          <w:sz w:val="24"/>
          <w:szCs w:val="24"/>
        </w:rPr>
        <w:t>gerenciador</w:t>
      </w:r>
      <w:r>
        <w:rPr>
          <w:sz w:val="24"/>
          <w:szCs w:val="24"/>
        </w:rPr>
        <w:t xml:space="preserve"> e do fornecedor.</w:t>
      </w:r>
    </w:p>
    <w:p w14:paraId="378FF3E0">
      <w:pPr>
        <w:tabs>
          <w:tab w:val="left" w:pos="497"/>
        </w:tabs>
        <w:spacing w:line="288" w:lineRule="auto"/>
        <w:contextualSpacing/>
        <w:jc w:val="both"/>
        <w:rPr>
          <w:rFonts w:eastAsia="Arial"/>
          <w:sz w:val="24"/>
          <w:szCs w:val="24"/>
        </w:rPr>
      </w:pPr>
    </w:p>
    <w:p w14:paraId="288BB12B">
      <w:pPr>
        <w:autoSpaceDE w:val="0"/>
        <w:autoSpaceDN w:val="0"/>
        <w:adjustRightInd w:val="0"/>
        <w:spacing w:line="288" w:lineRule="auto"/>
        <w:contextualSpacing/>
        <w:jc w:val="both"/>
        <w:rPr>
          <w:bCs/>
          <w:color w:val="231F20"/>
          <w:sz w:val="24"/>
          <w:szCs w:val="24"/>
        </w:rPr>
      </w:pPr>
      <w:r>
        <w:rPr>
          <w:color w:val="231F20"/>
          <w:sz w:val="24"/>
          <w:szCs w:val="24"/>
        </w:rPr>
        <w:t xml:space="preserve">4.4 </w:t>
      </w:r>
      <w:r>
        <w:rPr>
          <w:bCs/>
          <w:color w:val="231F20"/>
          <w:sz w:val="24"/>
          <w:szCs w:val="24"/>
        </w:rPr>
        <w:t xml:space="preserve">O </w:t>
      </w:r>
      <w:r>
        <w:rPr>
          <w:sz w:val="24"/>
          <w:szCs w:val="24"/>
        </w:rPr>
        <w:t>fornecedor</w:t>
      </w:r>
      <w:r>
        <w:rPr>
          <w:bCs/>
          <w:color w:val="231F20"/>
          <w:sz w:val="24"/>
          <w:szCs w:val="24"/>
        </w:rPr>
        <w:t xml:space="preserve"> poderá optar pela aceitação ou não do fornecimento decorrente da adesão, d</w:t>
      </w:r>
      <w:r>
        <w:rPr>
          <w:color w:val="231F20"/>
          <w:sz w:val="24"/>
          <w:szCs w:val="24"/>
        </w:rPr>
        <w:t xml:space="preserve">esde que não prejudique as obrigações presentes e futuras derivadas da Ata, assumidas com o </w:t>
      </w:r>
      <w:r>
        <w:rPr>
          <w:bCs/>
          <w:sz w:val="24"/>
          <w:szCs w:val="24"/>
        </w:rPr>
        <w:t>gerenciador e os participantes, quando houver.</w:t>
      </w:r>
    </w:p>
    <w:p w14:paraId="12187B77">
      <w:pPr>
        <w:autoSpaceDE w:val="0"/>
        <w:autoSpaceDN w:val="0"/>
        <w:adjustRightInd w:val="0"/>
        <w:spacing w:line="288" w:lineRule="auto"/>
        <w:contextualSpacing/>
        <w:jc w:val="both"/>
        <w:rPr>
          <w:bCs/>
          <w:color w:val="231F20"/>
          <w:sz w:val="24"/>
          <w:szCs w:val="24"/>
        </w:rPr>
      </w:pPr>
    </w:p>
    <w:p w14:paraId="50454A96">
      <w:pPr>
        <w:autoSpaceDE w:val="0"/>
        <w:autoSpaceDN w:val="0"/>
        <w:adjustRightInd w:val="0"/>
        <w:spacing w:line="288" w:lineRule="auto"/>
        <w:contextualSpacing/>
        <w:jc w:val="both"/>
        <w:rPr>
          <w:bCs/>
          <w:sz w:val="24"/>
          <w:szCs w:val="24"/>
        </w:rPr>
      </w:pPr>
      <w:r>
        <w:rPr>
          <w:bCs/>
          <w:color w:val="231F20"/>
          <w:sz w:val="24"/>
          <w:szCs w:val="24"/>
        </w:rPr>
        <w:t xml:space="preserve">4.5 </w:t>
      </w:r>
      <w:r>
        <w:rPr>
          <w:color w:val="231F20"/>
          <w:sz w:val="24"/>
          <w:szCs w:val="24"/>
        </w:rPr>
        <w:t xml:space="preserve">Após a autorização do </w:t>
      </w:r>
      <w:r>
        <w:rPr>
          <w:bCs/>
          <w:sz w:val="24"/>
          <w:szCs w:val="24"/>
        </w:rPr>
        <w:t xml:space="preserve">gerenciador, o </w:t>
      </w:r>
      <w:r>
        <w:rPr>
          <w:bCs/>
          <w:color w:val="231F20"/>
          <w:sz w:val="24"/>
          <w:szCs w:val="24"/>
        </w:rPr>
        <w:t>não-participante deverá efetivar a contratação solicitada em até 90 (noventa) dias, observado o prazo de vigência da Ata</w:t>
      </w:r>
      <w:r>
        <w:rPr>
          <w:bCs/>
          <w:sz w:val="24"/>
          <w:szCs w:val="24"/>
        </w:rPr>
        <w:t xml:space="preserve">. </w:t>
      </w:r>
    </w:p>
    <w:p w14:paraId="0D4B4BD7">
      <w:pPr>
        <w:autoSpaceDE w:val="0"/>
        <w:autoSpaceDN w:val="0"/>
        <w:adjustRightInd w:val="0"/>
        <w:spacing w:line="288" w:lineRule="auto"/>
        <w:contextualSpacing/>
        <w:jc w:val="both"/>
        <w:rPr>
          <w:sz w:val="24"/>
          <w:szCs w:val="24"/>
        </w:rPr>
      </w:pPr>
    </w:p>
    <w:p w14:paraId="1CA92770">
      <w:pPr>
        <w:autoSpaceDE w:val="0"/>
        <w:autoSpaceDN w:val="0"/>
        <w:adjustRightInd w:val="0"/>
        <w:spacing w:line="288" w:lineRule="auto"/>
        <w:contextualSpacing/>
        <w:jc w:val="both"/>
        <w:rPr>
          <w:sz w:val="24"/>
          <w:szCs w:val="24"/>
        </w:rPr>
      </w:pPr>
      <w:r>
        <w:rPr>
          <w:sz w:val="24"/>
          <w:szCs w:val="24"/>
        </w:rPr>
        <w:t xml:space="preserve">4.5.1 O prazo acima poderá ser prorrogado, excepcionalmente, mediante justificativa e autorização pelo gerenciador, e requerimento do </w:t>
      </w:r>
      <w:r>
        <w:rPr>
          <w:bCs/>
          <w:color w:val="231F20"/>
          <w:sz w:val="24"/>
          <w:szCs w:val="24"/>
        </w:rPr>
        <w:t>não-participante</w:t>
      </w:r>
      <w:r>
        <w:rPr>
          <w:sz w:val="24"/>
          <w:szCs w:val="24"/>
        </w:rPr>
        <w:t>, respeitado o prazo de vigência da Ata de Registro de Preços.</w:t>
      </w:r>
    </w:p>
    <w:p w14:paraId="205AAD3C">
      <w:pPr>
        <w:autoSpaceDE w:val="0"/>
        <w:autoSpaceDN w:val="0"/>
        <w:adjustRightInd w:val="0"/>
        <w:spacing w:line="288" w:lineRule="auto"/>
        <w:contextualSpacing/>
        <w:jc w:val="both"/>
        <w:rPr>
          <w:sz w:val="24"/>
          <w:szCs w:val="24"/>
        </w:rPr>
      </w:pPr>
    </w:p>
    <w:p w14:paraId="51B49D74">
      <w:pPr>
        <w:autoSpaceDE w:val="0"/>
        <w:autoSpaceDN w:val="0"/>
        <w:adjustRightInd w:val="0"/>
        <w:spacing w:line="288" w:lineRule="auto"/>
        <w:contextualSpacing/>
        <w:jc w:val="both"/>
        <w:rPr>
          <w:sz w:val="24"/>
          <w:szCs w:val="24"/>
        </w:rPr>
      </w:pPr>
      <w:r>
        <w:rPr>
          <w:sz w:val="24"/>
          <w:szCs w:val="24"/>
        </w:rPr>
        <w:t>4.6 São atribuições dos não-participantes:</w:t>
      </w:r>
    </w:p>
    <w:p w14:paraId="19094FFF">
      <w:pPr>
        <w:autoSpaceDE w:val="0"/>
        <w:autoSpaceDN w:val="0"/>
        <w:adjustRightInd w:val="0"/>
        <w:spacing w:line="288" w:lineRule="auto"/>
        <w:contextualSpacing/>
        <w:jc w:val="both"/>
        <w:rPr>
          <w:sz w:val="24"/>
          <w:szCs w:val="24"/>
        </w:rPr>
      </w:pPr>
    </w:p>
    <w:p w14:paraId="154EAFD9">
      <w:pPr>
        <w:autoSpaceDE w:val="0"/>
        <w:autoSpaceDN w:val="0"/>
        <w:adjustRightInd w:val="0"/>
        <w:spacing w:line="288" w:lineRule="auto"/>
        <w:contextualSpacing/>
        <w:jc w:val="both"/>
        <w:rPr>
          <w:b/>
          <w:bCs/>
          <w:color w:val="231F20"/>
          <w:sz w:val="24"/>
          <w:szCs w:val="24"/>
        </w:rPr>
      </w:pPr>
      <w:r>
        <w:rPr>
          <w:bCs/>
          <w:color w:val="231F20"/>
          <w:sz w:val="24"/>
          <w:szCs w:val="24"/>
        </w:rPr>
        <w:t>a)</w:t>
      </w:r>
      <w:r>
        <w:rPr>
          <w:b/>
          <w:color w:val="231F20"/>
          <w:sz w:val="24"/>
          <w:szCs w:val="24"/>
        </w:rPr>
        <w:t xml:space="preserve"> </w:t>
      </w:r>
      <w:r>
        <w:rPr>
          <w:bCs/>
          <w:color w:val="231F20"/>
          <w:sz w:val="24"/>
          <w:szCs w:val="24"/>
        </w:rPr>
        <w:t>aceitar todas as condições fixadas na Ata de Registro de Preços;</w:t>
      </w:r>
    </w:p>
    <w:p w14:paraId="06BCD2E1">
      <w:pPr>
        <w:autoSpaceDE w:val="0"/>
        <w:autoSpaceDN w:val="0"/>
        <w:adjustRightInd w:val="0"/>
        <w:spacing w:line="288" w:lineRule="auto"/>
        <w:contextualSpacing/>
        <w:jc w:val="both"/>
        <w:rPr>
          <w:bCs/>
          <w:color w:val="231F20"/>
          <w:sz w:val="24"/>
          <w:szCs w:val="24"/>
        </w:rPr>
      </w:pPr>
    </w:p>
    <w:p w14:paraId="14F2BA50">
      <w:pPr>
        <w:spacing w:line="288" w:lineRule="auto"/>
        <w:contextualSpacing/>
        <w:jc w:val="both"/>
        <w:rPr>
          <w:sz w:val="24"/>
          <w:szCs w:val="24"/>
        </w:rPr>
      </w:pPr>
      <w:r>
        <w:rPr>
          <w:bCs/>
          <w:color w:val="231F20"/>
          <w:sz w:val="24"/>
          <w:szCs w:val="24"/>
        </w:rPr>
        <w:t xml:space="preserve">b) </w:t>
      </w:r>
      <w:r>
        <w:rPr>
          <w:sz w:val="24"/>
          <w:szCs w:val="24"/>
        </w:rPr>
        <w:t xml:space="preserve">tomar conhecimento da Ata de Registro de Preços, inclusive de eventuais alterações, para o correto cumprimento de suas disposições; </w:t>
      </w:r>
    </w:p>
    <w:p w14:paraId="3EE247DC">
      <w:pPr>
        <w:spacing w:line="288" w:lineRule="auto"/>
        <w:contextualSpacing/>
        <w:jc w:val="both"/>
        <w:rPr>
          <w:sz w:val="24"/>
          <w:szCs w:val="24"/>
        </w:rPr>
      </w:pPr>
    </w:p>
    <w:p w14:paraId="09EB90A0">
      <w:pPr>
        <w:spacing w:line="288" w:lineRule="auto"/>
        <w:contextualSpacing/>
        <w:jc w:val="both"/>
        <w:rPr>
          <w:sz w:val="24"/>
          <w:szCs w:val="24"/>
        </w:rPr>
      </w:pPr>
      <w:r>
        <w:rPr>
          <w:sz w:val="24"/>
          <w:szCs w:val="24"/>
        </w:rPr>
        <w:t xml:space="preserve">c) prestar informações, quando solicitadas, ao gerenciador quanto à contratação e à execução da demanda destinada ao seu órgão ou entidade; </w:t>
      </w:r>
    </w:p>
    <w:p w14:paraId="2D180B77">
      <w:pPr>
        <w:spacing w:line="288" w:lineRule="auto"/>
        <w:contextualSpacing/>
        <w:jc w:val="both"/>
        <w:rPr>
          <w:sz w:val="24"/>
          <w:szCs w:val="24"/>
        </w:rPr>
      </w:pPr>
    </w:p>
    <w:p w14:paraId="0E7C96B2">
      <w:pPr>
        <w:spacing w:line="288" w:lineRule="auto"/>
        <w:contextualSpacing/>
        <w:jc w:val="both"/>
        <w:rPr>
          <w:sz w:val="24"/>
          <w:szCs w:val="24"/>
        </w:rPr>
      </w:pPr>
      <w:r>
        <w:rPr>
          <w:sz w:val="24"/>
          <w:szCs w:val="24"/>
        </w:rPr>
        <w:t>d) informar ao gerenciador a eventual recusa do contratado em atender às condições estabelecidas no instrumento convocatório, quando houver,</w:t>
      </w:r>
      <w:r>
        <w:rPr>
          <w:rFonts w:eastAsia="Arial"/>
          <w:sz w:val="24"/>
          <w:szCs w:val="24"/>
        </w:rPr>
        <w:t xml:space="preserve"> e no Termo de Referência</w:t>
      </w:r>
      <w:r>
        <w:rPr>
          <w:sz w:val="24"/>
          <w:szCs w:val="24"/>
        </w:rPr>
        <w:t xml:space="preserve">, firmadas na Ata de Registro de Preços, bem como as divergências relativas à entrega, características e origem dos bens adjudicados; e </w:t>
      </w:r>
    </w:p>
    <w:p w14:paraId="5CADE28F">
      <w:pPr>
        <w:spacing w:line="288" w:lineRule="auto"/>
        <w:contextualSpacing/>
        <w:jc w:val="both"/>
        <w:rPr>
          <w:sz w:val="24"/>
          <w:szCs w:val="24"/>
        </w:rPr>
      </w:pPr>
    </w:p>
    <w:p w14:paraId="15D9751F">
      <w:pPr>
        <w:spacing w:line="288" w:lineRule="auto"/>
        <w:contextualSpacing/>
        <w:jc w:val="both"/>
        <w:rPr>
          <w:rFonts w:eastAsia="Arial"/>
          <w:b/>
          <w:sz w:val="24"/>
          <w:szCs w:val="24"/>
        </w:rPr>
      </w:pPr>
      <w:r>
        <w:rPr>
          <w:sz w:val="24"/>
          <w:szCs w:val="24"/>
        </w:rPr>
        <w:t>e) promover a correta gestão, fiscalização e execução contratual, nos termos do Capítulo VI do Título III da Lei nº 14.133/2021, e o disposto no Decreto nº 40/2025, no Termo de Referência e no contrato, com relação às suas próprias contratações.</w:t>
      </w:r>
    </w:p>
    <w:p w14:paraId="526EF2B0">
      <w:pPr>
        <w:autoSpaceDE w:val="0"/>
        <w:autoSpaceDN w:val="0"/>
        <w:adjustRightInd w:val="0"/>
        <w:spacing w:line="288" w:lineRule="auto"/>
        <w:contextualSpacing/>
        <w:jc w:val="both"/>
        <w:rPr>
          <w:sz w:val="24"/>
          <w:szCs w:val="24"/>
        </w:rPr>
      </w:pPr>
    </w:p>
    <w:p w14:paraId="05612E45">
      <w:pPr>
        <w:spacing w:line="288" w:lineRule="auto"/>
        <w:contextualSpacing/>
        <w:jc w:val="both"/>
        <w:rPr>
          <w:rFonts w:eastAsia="Arial"/>
          <w:b/>
          <w:sz w:val="24"/>
          <w:szCs w:val="24"/>
        </w:rPr>
      </w:pPr>
      <w:r>
        <w:rPr>
          <w:b/>
          <w:bCs/>
          <w:sz w:val="24"/>
          <w:szCs w:val="24"/>
        </w:rPr>
        <w:t>CLÁUSULA QUINTA:</w:t>
      </w:r>
      <w:r>
        <w:rPr>
          <w:sz w:val="24"/>
          <w:szCs w:val="24"/>
        </w:rPr>
        <w:t xml:space="preserve"> </w:t>
      </w:r>
      <w:r>
        <w:rPr>
          <w:rFonts w:eastAsia="Arial"/>
          <w:b/>
          <w:sz w:val="24"/>
          <w:szCs w:val="24"/>
        </w:rPr>
        <w:t xml:space="preserve">DO QUANTITATIVO </w:t>
      </w:r>
    </w:p>
    <w:p w14:paraId="7C38C8DB">
      <w:pPr>
        <w:spacing w:line="288" w:lineRule="auto"/>
        <w:contextualSpacing/>
        <w:jc w:val="both"/>
        <w:rPr>
          <w:sz w:val="24"/>
          <w:szCs w:val="24"/>
        </w:rPr>
      </w:pPr>
    </w:p>
    <w:p w14:paraId="297E77D1">
      <w:pPr>
        <w:spacing w:line="288" w:lineRule="auto"/>
        <w:contextualSpacing/>
        <w:jc w:val="both"/>
        <w:rPr>
          <w:sz w:val="24"/>
          <w:szCs w:val="24"/>
        </w:rPr>
      </w:pPr>
      <w:r>
        <w:rPr>
          <w:sz w:val="24"/>
          <w:szCs w:val="24"/>
        </w:rPr>
        <w:t xml:space="preserve">5.1 As quantidades estimadas para a contratação, conforme descrição no Termo de Referência e reunidas no Anexo I – Consolidação das Informações da Ata de Registro de Preços, são as seguintes: </w:t>
      </w:r>
    </w:p>
    <w:p w14:paraId="73C742F2">
      <w:pPr>
        <w:spacing w:line="288" w:lineRule="auto"/>
        <w:contextualSpacing/>
        <w:jc w:val="both"/>
        <w:rPr>
          <w:sz w:val="24"/>
          <w:szCs w:val="24"/>
        </w:rPr>
      </w:pPr>
    </w:p>
    <w:p w14:paraId="3E603CB1">
      <w:pPr>
        <w:spacing w:line="288" w:lineRule="auto"/>
        <w:contextualSpacing/>
        <w:jc w:val="both"/>
        <w:rPr>
          <w:rFonts w:eastAsia="Arial"/>
          <w:sz w:val="24"/>
          <w:szCs w:val="24"/>
        </w:rPr>
      </w:pPr>
      <w:r>
        <w:rPr>
          <w:sz w:val="24"/>
          <w:szCs w:val="24"/>
        </w:rPr>
        <w:t xml:space="preserve">a) previsão de contratação pelo </w:t>
      </w:r>
      <w:r>
        <w:rPr>
          <w:bCs/>
          <w:sz w:val="24"/>
          <w:szCs w:val="24"/>
        </w:rPr>
        <w:t xml:space="preserve">gerenciador e pelos </w:t>
      </w:r>
      <w:r>
        <w:rPr>
          <w:rFonts w:eastAsia="Arial"/>
          <w:bCs/>
          <w:sz w:val="24"/>
          <w:szCs w:val="24"/>
        </w:rPr>
        <w:t>participantes, em conformidade com disposto na lei nº 14133/2021</w:t>
      </w:r>
      <w:r>
        <w:rPr>
          <w:rFonts w:eastAsia="Arial"/>
          <w:sz w:val="24"/>
          <w:szCs w:val="24"/>
        </w:rPr>
        <w:t>.</w:t>
      </w:r>
    </w:p>
    <w:p w14:paraId="0D053908">
      <w:pPr>
        <w:spacing w:line="288" w:lineRule="auto"/>
        <w:contextualSpacing/>
        <w:jc w:val="both"/>
        <w:rPr>
          <w:rFonts w:eastAsia="Arial"/>
          <w:sz w:val="24"/>
          <w:szCs w:val="24"/>
        </w:rPr>
      </w:pPr>
    </w:p>
    <w:p w14:paraId="1C699C82">
      <w:pPr>
        <w:spacing w:line="288" w:lineRule="auto"/>
        <w:contextualSpacing/>
        <w:jc w:val="both"/>
        <w:rPr>
          <w:rFonts w:eastAsia="Arial"/>
          <w:bCs/>
          <w:sz w:val="24"/>
          <w:szCs w:val="24"/>
        </w:rPr>
      </w:pPr>
      <w:r>
        <w:rPr>
          <w:rFonts w:eastAsia="Arial"/>
          <w:sz w:val="24"/>
          <w:szCs w:val="24"/>
        </w:rPr>
        <w:t xml:space="preserve">b) </w:t>
      </w:r>
      <w:r>
        <w:rPr>
          <w:sz w:val="24"/>
          <w:szCs w:val="24"/>
        </w:rPr>
        <w:t xml:space="preserve">previsão de contratação pelos </w:t>
      </w:r>
      <w:r>
        <w:rPr>
          <w:bCs/>
          <w:color w:val="231F20"/>
          <w:sz w:val="24"/>
          <w:szCs w:val="24"/>
        </w:rPr>
        <w:t>não-participantes,</w:t>
      </w:r>
      <w:r>
        <w:rPr>
          <w:rFonts w:eastAsia="Arial"/>
          <w:bCs/>
          <w:sz w:val="24"/>
          <w:szCs w:val="24"/>
        </w:rPr>
        <w:t xml:space="preserve"> em conformidade com disposto na lei nº 14133/2021.</w:t>
      </w:r>
    </w:p>
    <w:p w14:paraId="1AA5EE56">
      <w:pPr>
        <w:spacing w:line="288" w:lineRule="auto"/>
        <w:contextualSpacing/>
        <w:jc w:val="both"/>
        <w:rPr>
          <w:rFonts w:eastAsia="Arial"/>
          <w:sz w:val="24"/>
          <w:szCs w:val="24"/>
        </w:rPr>
      </w:pPr>
    </w:p>
    <w:p w14:paraId="6AB51B2D">
      <w:pPr>
        <w:autoSpaceDE w:val="0"/>
        <w:autoSpaceDN w:val="0"/>
        <w:adjustRightInd w:val="0"/>
        <w:spacing w:line="288" w:lineRule="auto"/>
        <w:contextualSpacing/>
        <w:jc w:val="both"/>
        <w:rPr>
          <w:rFonts w:eastAsia="Arial"/>
          <w:sz w:val="24"/>
          <w:szCs w:val="24"/>
        </w:rPr>
      </w:pPr>
      <w:r>
        <w:rPr>
          <w:bCs/>
          <w:sz w:val="24"/>
          <w:szCs w:val="24"/>
        </w:rPr>
        <w:t>5.2</w:t>
      </w:r>
      <w:r>
        <w:rPr>
          <w:sz w:val="24"/>
          <w:szCs w:val="24"/>
        </w:rPr>
        <w:t xml:space="preserve"> </w:t>
      </w:r>
      <w:r>
        <w:rPr>
          <w:rFonts w:eastAsia="Arial"/>
          <w:sz w:val="24"/>
          <w:szCs w:val="24"/>
        </w:rPr>
        <w:t xml:space="preserve">As quantidades dos itens indicadas nas alíneas a e b do item 5.1 são meramente estimativas e não implicam obrigatoriedade de contratação </w:t>
      </w:r>
      <w:r>
        <w:rPr>
          <w:sz w:val="24"/>
          <w:szCs w:val="24"/>
        </w:rPr>
        <w:t xml:space="preserve">pelo gerenciador e pelos </w:t>
      </w:r>
      <w:r>
        <w:rPr>
          <w:rFonts w:eastAsia="Arial"/>
          <w:sz w:val="24"/>
          <w:szCs w:val="24"/>
        </w:rPr>
        <w:t>participantes, quando houver, durante a vigência da Ata de Registro de Preços.</w:t>
      </w:r>
    </w:p>
    <w:p w14:paraId="40E0878E">
      <w:pPr>
        <w:autoSpaceDE w:val="0"/>
        <w:autoSpaceDN w:val="0"/>
        <w:adjustRightInd w:val="0"/>
        <w:spacing w:line="288" w:lineRule="auto"/>
        <w:contextualSpacing/>
        <w:jc w:val="both"/>
        <w:rPr>
          <w:rFonts w:eastAsia="Arial"/>
          <w:sz w:val="24"/>
          <w:szCs w:val="24"/>
        </w:rPr>
      </w:pPr>
    </w:p>
    <w:p w14:paraId="00BD363F">
      <w:pPr>
        <w:autoSpaceDE w:val="0"/>
        <w:autoSpaceDN w:val="0"/>
        <w:adjustRightInd w:val="0"/>
        <w:spacing w:line="288" w:lineRule="auto"/>
        <w:contextualSpacing/>
        <w:jc w:val="both"/>
        <w:rPr>
          <w:sz w:val="24"/>
          <w:szCs w:val="24"/>
        </w:rPr>
      </w:pPr>
      <w:r>
        <w:rPr>
          <w:sz w:val="24"/>
          <w:szCs w:val="24"/>
        </w:rPr>
        <w:t>5.3 As contratações adicionais de que trata o item 4 não poderão exceder, por órgão ou entidade aderente, conforme estipulado no decreto Municipal n° 46/2025, art.33,</w:t>
      </w:r>
      <w:r>
        <w:rPr>
          <w:bCs/>
          <w:sz w:val="24"/>
          <w:szCs w:val="24"/>
        </w:rPr>
        <w:t xml:space="preserve"> </w:t>
      </w:r>
      <w:r>
        <w:rPr>
          <w:sz w:val="24"/>
          <w:szCs w:val="24"/>
        </w:rPr>
        <w:t xml:space="preserve">dos quantitativos dos itens registrados na Ata de Registro de Preços para o gerenciador e para os </w:t>
      </w:r>
      <w:r>
        <w:rPr>
          <w:rFonts w:eastAsia="Arial"/>
          <w:sz w:val="24"/>
          <w:szCs w:val="24"/>
        </w:rPr>
        <w:t>participantes, quando houver</w:t>
      </w:r>
      <w:r>
        <w:rPr>
          <w:sz w:val="24"/>
          <w:szCs w:val="24"/>
        </w:rPr>
        <w:t xml:space="preserve">. </w:t>
      </w:r>
    </w:p>
    <w:p w14:paraId="75D6B253">
      <w:pPr>
        <w:autoSpaceDE w:val="0"/>
        <w:autoSpaceDN w:val="0"/>
        <w:adjustRightInd w:val="0"/>
        <w:spacing w:line="288" w:lineRule="auto"/>
        <w:contextualSpacing/>
        <w:jc w:val="both"/>
        <w:rPr>
          <w:sz w:val="24"/>
          <w:szCs w:val="24"/>
        </w:rPr>
      </w:pPr>
    </w:p>
    <w:p w14:paraId="48841722">
      <w:pPr>
        <w:autoSpaceDE w:val="0"/>
        <w:autoSpaceDN w:val="0"/>
        <w:adjustRightInd w:val="0"/>
        <w:spacing w:line="288" w:lineRule="auto"/>
        <w:contextualSpacing/>
        <w:jc w:val="both"/>
        <w:rPr>
          <w:bCs/>
          <w:color w:val="231F20"/>
          <w:sz w:val="24"/>
          <w:szCs w:val="24"/>
        </w:rPr>
      </w:pPr>
      <w:r>
        <w:rPr>
          <w:sz w:val="24"/>
          <w:szCs w:val="24"/>
        </w:rPr>
        <w:t xml:space="preserve">5.3.1 O quantitativo decorrente das adesões à Ata de Registro de Preços não poderá exceder, na totalidade, </w:t>
      </w:r>
      <w:r>
        <w:rPr>
          <w:bCs/>
          <w:sz w:val="24"/>
          <w:szCs w:val="24"/>
        </w:rPr>
        <w:t xml:space="preserve">ao limite </w:t>
      </w:r>
      <w:r>
        <w:rPr>
          <w:sz w:val="24"/>
          <w:szCs w:val="24"/>
        </w:rPr>
        <w:t>estipulado no decreto Municipal n° 46/2025, art.33</w:t>
      </w:r>
      <w:r>
        <w:rPr>
          <w:bCs/>
          <w:sz w:val="24"/>
          <w:szCs w:val="24"/>
        </w:rPr>
        <w:t xml:space="preserve"> </w:t>
      </w:r>
      <w:r>
        <w:rPr>
          <w:sz w:val="24"/>
          <w:szCs w:val="24"/>
        </w:rPr>
        <w:t xml:space="preserve">do quantitativo de cada item registrado nesta Ata para o gerenciador e pelos </w:t>
      </w:r>
      <w:r>
        <w:rPr>
          <w:rFonts w:eastAsia="Arial"/>
          <w:sz w:val="24"/>
          <w:szCs w:val="24"/>
        </w:rPr>
        <w:t>participantes</w:t>
      </w:r>
      <w:r>
        <w:rPr>
          <w:sz w:val="24"/>
          <w:szCs w:val="24"/>
        </w:rPr>
        <w:t>, quando houver, independentemente do número de órgãos ou entidades não-participantes que aderirem.</w:t>
      </w:r>
    </w:p>
    <w:p w14:paraId="0E7857D5">
      <w:pPr>
        <w:spacing w:line="288" w:lineRule="auto"/>
        <w:contextualSpacing/>
        <w:jc w:val="both"/>
        <w:rPr>
          <w:sz w:val="24"/>
          <w:szCs w:val="24"/>
        </w:rPr>
      </w:pPr>
    </w:p>
    <w:p w14:paraId="39CE501C">
      <w:pPr>
        <w:spacing w:line="288" w:lineRule="auto"/>
        <w:ind w:right="49"/>
        <w:contextualSpacing/>
        <w:jc w:val="both"/>
        <w:rPr>
          <w:color w:val="231F20"/>
          <w:sz w:val="24"/>
          <w:szCs w:val="24"/>
        </w:rPr>
      </w:pPr>
      <w:r>
        <w:rPr>
          <w:sz w:val="24"/>
          <w:szCs w:val="24"/>
        </w:rPr>
        <w:t>5.4 É vedado efetuar acréscimos nos quantitativos fixados na Ata de Registro de Preços, inclusive o acréscimo de que trata o art. 125 da Lei nº 14.133/2021.</w:t>
      </w:r>
    </w:p>
    <w:p w14:paraId="3AE411D2">
      <w:pPr>
        <w:spacing w:line="288" w:lineRule="auto"/>
        <w:contextualSpacing/>
        <w:jc w:val="both"/>
        <w:rPr>
          <w:b/>
          <w:sz w:val="24"/>
          <w:szCs w:val="24"/>
        </w:rPr>
      </w:pPr>
    </w:p>
    <w:p w14:paraId="5A8C8259">
      <w:pPr>
        <w:spacing w:line="288" w:lineRule="auto"/>
        <w:contextualSpacing/>
        <w:jc w:val="both"/>
        <w:rPr>
          <w:rFonts w:eastAsia="Arial"/>
          <w:b/>
          <w:sz w:val="24"/>
          <w:szCs w:val="24"/>
        </w:rPr>
      </w:pPr>
      <w:r>
        <w:rPr>
          <w:bCs/>
          <w:sz w:val="24"/>
          <w:szCs w:val="24"/>
        </w:rPr>
        <w:t xml:space="preserve">5.5 </w:t>
      </w:r>
      <w:r>
        <w:rPr>
          <w:sz w:val="24"/>
          <w:szCs w:val="24"/>
        </w:rPr>
        <w:t xml:space="preserve">As quantidades previstas na Ata de Registro de Preços para os itens com preços registrados poderão ser remanejadas, pelo </w:t>
      </w:r>
      <w:r>
        <w:rPr>
          <w:bCs/>
          <w:sz w:val="24"/>
          <w:szCs w:val="24"/>
        </w:rPr>
        <w:t>gerenciador</w:t>
      </w:r>
      <w:r>
        <w:rPr>
          <w:sz w:val="24"/>
          <w:szCs w:val="24"/>
        </w:rPr>
        <w:t xml:space="preserve">, entre os </w:t>
      </w:r>
      <w:r>
        <w:rPr>
          <w:rFonts w:eastAsia="Arial"/>
          <w:sz w:val="24"/>
          <w:szCs w:val="24"/>
        </w:rPr>
        <w:t>participantes</w:t>
      </w:r>
      <w:r>
        <w:rPr>
          <w:sz w:val="24"/>
          <w:szCs w:val="24"/>
        </w:rPr>
        <w:t xml:space="preserve"> do procedimento para registro de preços, quando houver. </w:t>
      </w:r>
    </w:p>
    <w:p w14:paraId="5B718119">
      <w:pPr>
        <w:spacing w:line="288" w:lineRule="auto"/>
        <w:contextualSpacing/>
        <w:jc w:val="both"/>
        <w:rPr>
          <w:sz w:val="24"/>
          <w:szCs w:val="24"/>
        </w:rPr>
      </w:pPr>
    </w:p>
    <w:p w14:paraId="2C728416">
      <w:pPr>
        <w:spacing w:line="288" w:lineRule="auto"/>
        <w:contextualSpacing/>
        <w:jc w:val="both"/>
        <w:rPr>
          <w:rFonts w:eastAsia="Arial"/>
          <w:b/>
          <w:sz w:val="24"/>
          <w:szCs w:val="24"/>
        </w:rPr>
      </w:pPr>
      <w:r>
        <w:rPr>
          <w:bCs/>
          <w:sz w:val="24"/>
          <w:szCs w:val="24"/>
        </w:rPr>
        <w:t xml:space="preserve">5.5.1 </w:t>
      </w:r>
      <w:r>
        <w:rPr>
          <w:sz w:val="24"/>
          <w:szCs w:val="24"/>
        </w:rPr>
        <w:t xml:space="preserve">Caberá ao gerenciador autorizar o remanejamento, com a transferência dos quantitativos entre os </w:t>
      </w:r>
      <w:r>
        <w:rPr>
          <w:rFonts w:eastAsia="Arial"/>
          <w:sz w:val="24"/>
          <w:szCs w:val="24"/>
        </w:rPr>
        <w:t>participantes</w:t>
      </w:r>
      <w:r>
        <w:rPr>
          <w:sz w:val="24"/>
          <w:szCs w:val="24"/>
        </w:rPr>
        <w:t xml:space="preserve">, desde que haja anuência daquele que vier a sofrer a redução dos quantitativos informados. </w:t>
      </w:r>
    </w:p>
    <w:p w14:paraId="4041F7F7">
      <w:pPr>
        <w:autoSpaceDE w:val="0"/>
        <w:autoSpaceDN w:val="0"/>
        <w:adjustRightInd w:val="0"/>
        <w:spacing w:line="288" w:lineRule="auto"/>
        <w:contextualSpacing/>
        <w:jc w:val="both"/>
        <w:rPr>
          <w:color w:val="231F20"/>
          <w:sz w:val="24"/>
          <w:szCs w:val="24"/>
        </w:rPr>
      </w:pPr>
    </w:p>
    <w:p w14:paraId="3DD28C82">
      <w:pPr>
        <w:spacing w:line="288" w:lineRule="auto"/>
        <w:contextualSpacing/>
        <w:jc w:val="both"/>
        <w:rPr>
          <w:rFonts w:eastAsia="Arial"/>
          <w:b/>
          <w:sz w:val="24"/>
          <w:szCs w:val="24"/>
        </w:rPr>
      </w:pPr>
      <w:r>
        <w:rPr>
          <w:rFonts w:eastAsia="Arial"/>
          <w:b/>
          <w:sz w:val="24"/>
          <w:szCs w:val="24"/>
        </w:rPr>
        <w:t>CLÁUSULA SEXTA: DO PREÇO REGISTRADO</w:t>
      </w:r>
    </w:p>
    <w:p w14:paraId="51651F88">
      <w:pPr>
        <w:spacing w:line="288" w:lineRule="auto"/>
        <w:contextualSpacing/>
        <w:jc w:val="both"/>
        <w:rPr>
          <w:rFonts w:eastAsia="Arial"/>
          <w:sz w:val="24"/>
          <w:szCs w:val="24"/>
        </w:rPr>
      </w:pPr>
    </w:p>
    <w:p w14:paraId="2F77891C">
      <w:pPr>
        <w:spacing w:line="288" w:lineRule="auto"/>
        <w:contextualSpacing/>
        <w:jc w:val="both"/>
        <w:rPr>
          <w:sz w:val="24"/>
          <w:szCs w:val="24"/>
        </w:rPr>
      </w:pPr>
      <w:r>
        <w:rPr>
          <w:rFonts w:eastAsia="Arial"/>
          <w:sz w:val="24"/>
          <w:szCs w:val="24"/>
        </w:rPr>
        <w:t xml:space="preserve">6.1 O preço unitário de cada item registrado é o constante da(s) proposta(s) final(is), cujos valores estão reunidos </w:t>
      </w:r>
      <w:r>
        <w:rPr>
          <w:sz w:val="24"/>
          <w:szCs w:val="24"/>
        </w:rPr>
        <w:t xml:space="preserve">no Anexo I – Consolidação das Informações da Ata de Registro de Preços. </w:t>
      </w:r>
    </w:p>
    <w:p w14:paraId="17D3D5CF">
      <w:pPr>
        <w:autoSpaceDE w:val="0"/>
        <w:autoSpaceDN w:val="0"/>
        <w:adjustRightInd w:val="0"/>
        <w:spacing w:line="288" w:lineRule="auto"/>
        <w:contextualSpacing/>
        <w:jc w:val="both"/>
        <w:rPr>
          <w:color w:val="231F20"/>
          <w:sz w:val="24"/>
          <w:szCs w:val="24"/>
        </w:rPr>
      </w:pPr>
    </w:p>
    <w:p w14:paraId="34BE297C">
      <w:pPr>
        <w:spacing w:line="288" w:lineRule="auto"/>
        <w:contextualSpacing/>
        <w:jc w:val="both"/>
        <w:rPr>
          <w:color w:val="231F20"/>
          <w:sz w:val="24"/>
          <w:szCs w:val="24"/>
        </w:rPr>
      </w:pPr>
      <w:r>
        <w:rPr>
          <w:bCs/>
          <w:sz w:val="24"/>
          <w:szCs w:val="24"/>
        </w:rPr>
        <w:t xml:space="preserve">6.2 </w:t>
      </w:r>
      <w:r>
        <w:rPr>
          <w:color w:val="231F20"/>
          <w:sz w:val="24"/>
          <w:szCs w:val="24"/>
        </w:rPr>
        <w:t xml:space="preserve">Os preços registrados poderão ser revistos e alterados </w:t>
      </w:r>
      <w:bookmarkStart w:id="46" w:name="_Hlk158811219"/>
      <w:r>
        <w:rPr>
          <w:color w:val="231F20"/>
          <w:sz w:val="24"/>
          <w:szCs w:val="24"/>
        </w:rPr>
        <w:t xml:space="preserve">em decorrência de eventual redução dos preços praticados no mercado ou de fato que eleve o custo dos bens, obras ou serviços registrados, </w:t>
      </w:r>
      <w:r>
        <w:rPr>
          <w:sz w:val="24"/>
          <w:szCs w:val="24"/>
        </w:rPr>
        <w:t xml:space="preserve">em caso de força maior, caso fortuito ou fato do príncipe ou em decorrência de fatos imprevisíveis ou previsíveis de consequências incalculáveis, que inviabilizem a execução da ata tal como pactuado, nos termos da alínea d do inciso II do </w:t>
      </w:r>
      <w:r>
        <w:rPr>
          <w:i/>
          <w:iCs/>
          <w:sz w:val="24"/>
          <w:szCs w:val="24"/>
        </w:rPr>
        <w:t>caput</w:t>
      </w:r>
      <w:r>
        <w:rPr>
          <w:sz w:val="24"/>
          <w:szCs w:val="24"/>
        </w:rPr>
        <w:t xml:space="preserve"> do art. 124 da Lei nº 14.133/2021</w:t>
      </w:r>
      <w:r>
        <w:rPr>
          <w:color w:val="231F20"/>
          <w:sz w:val="24"/>
          <w:szCs w:val="24"/>
        </w:rPr>
        <w:t>.</w:t>
      </w:r>
    </w:p>
    <w:bookmarkEnd w:id="46"/>
    <w:p w14:paraId="7E4A583A">
      <w:pPr>
        <w:autoSpaceDE w:val="0"/>
        <w:autoSpaceDN w:val="0"/>
        <w:adjustRightInd w:val="0"/>
        <w:spacing w:line="288" w:lineRule="auto"/>
        <w:contextualSpacing/>
        <w:jc w:val="both"/>
        <w:rPr>
          <w:b/>
          <w:bCs/>
          <w:color w:val="231F20"/>
          <w:sz w:val="24"/>
          <w:szCs w:val="24"/>
        </w:rPr>
      </w:pPr>
    </w:p>
    <w:p w14:paraId="0527B5A4">
      <w:pPr>
        <w:autoSpaceDE w:val="0"/>
        <w:autoSpaceDN w:val="0"/>
        <w:adjustRightInd w:val="0"/>
        <w:spacing w:line="288" w:lineRule="auto"/>
        <w:contextualSpacing/>
        <w:jc w:val="both"/>
        <w:rPr>
          <w:color w:val="231F20"/>
          <w:sz w:val="24"/>
          <w:szCs w:val="24"/>
        </w:rPr>
      </w:pPr>
      <w:r>
        <w:rPr>
          <w:bCs/>
          <w:sz w:val="24"/>
          <w:szCs w:val="24"/>
        </w:rPr>
        <w:t>6.3</w:t>
      </w:r>
      <w:r>
        <w:rPr>
          <w:sz w:val="24"/>
          <w:szCs w:val="24"/>
        </w:rPr>
        <w:t xml:space="preserve"> Q</w:t>
      </w:r>
      <w:r>
        <w:rPr>
          <w:color w:val="231F20"/>
          <w:sz w:val="24"/>
          <w:szCs w:val="24"/>
        </w:rPr>
        <w:t xml:space="preserve">uando o preço registrado se tornar superior ao preço praticado no mercado por motivo superveniente, o </w:t>
      </w:r>
      <w:r>
        <w:rPr>
          <w:bCs/>
          <w:color w:val="231F20"/>
          <w:sz w:val="24"/>
          <w:szCs w:val="24"/>
        </w:rPr>
        <w:t>gerenciador</w:t>
      </w:r>
      <w:r>
        <w:rPr>
          <w:color w:val="231F20"/>
          <w:sz w:val="24"/>
          <w:szCs w:val="24"/>
        </w:rPr>
        <w:t xml:space="preserve"> convocará o(s) fornecedor(es) para negociar a redução dos preços aos valores praticados pelo mercado, na ordem de classificação.</w:t>
      </w:r>
    </w:p>
    <w:p w14:paraId="5F6FFEC3">
      <w:pPr>
        <w:autoSpaceDE w:val="0"/>
        <w:autoSpaceDN w:val="0"/>
        <w:adjustRightInd w:val="0"/>
        <w:spacing w:line="288" w:lineRule="auto"/>
        <w:contextualSpacing/>
        <w:jc w:val="both"/>
        <w:rPr>
          <w:b/>
          <w:bCs/>
          <w:color w:val="231F20"/>
          <w:sz w:val="24"/>
          <w:szCs w:val="24"/>
        </w:rPr>
      </w:pPr>
    </w:p>
    <w:p w14:paraId="668D62CB">
      <w:pPr>
        <w:autoSpaceDE w:val="0"/>
        <w:autoSpaceDN w:val="0"/>
        <w:adjustRightInd w:val="0"/>
        <w:spacing w:line="288" w:lineRule="auto"/>
        <w:contextualSpacing/>
        <w:jc w:val="both"/>
        <w:rPr>
          <w:sz w:val="24"/>
          <w:szCs w:val="24"/>
        </w:rPr>
      </w:pPr>
      <w:r>
        <w:rPr>
          <w:sz w:val="24"/>
          <w:szCs w:val="24"/>
        </w:rPr>
        <w:t xml:space="preserve">6.3.1 Caso o(s) </w:t>
      </w:r>
      <w:r>
        <w:rPr>
          <w:color w:val="231F20"/>
          <w:sz w:val="24"/>
          <w:szCs w:val="24"/>
        </w:rPr>
        <w:t>fornecedor(es) cadastrado(s)</w:t>
      </w:r>
      <w:r>
        <w:rPr>
          <w:sz w:val="24"/>
          <w:szCs w:val="24"/>
        </w:rPr>
        <w:t xml:space="preserve"> para o item ou lote não aceite(m) reduzir seu preço ao valor praticado pelo mercado deverá(ão) ser liberado(s) do compromisso assumido, sem aplicação de penalidades administrativas.  </w:t>
      </w:r>
    </w:p>
    <w:p w14:paraId="5913EB6C">
      <w:pPr>
        <w:autoSpaceDE w:val="0"/>
        <w:autoSpaceDN w:val="0"/>
        <w:adjustRightInd w:val="0"/>
        <w:spacing w:line="288" w:lineRule="auto"/>
        <w:contextualSpacing/>
        <w:jc w:val="both"/>
        <w:rPr>
          <w:sz w:val="24"/>
          <w:szCs w:val="24"/>
        </w:rPr>
      </w:pPr>
    </w:p>
    <w:p w14:paraId="6C3B7ABA">
      <w:pPr>
        <w:autoSpaceDE w:val="0"/>
        <w:autoSpaceDN w:val="0"/>
        <w:adjustRightInd w:val="0"/>
        <w:spacing w:line="288" w:lineRule="auto"/>
        <w:contextualSpacing/>
        <w:jc w:val="both"/>
        <w:rPr>
          <w:sz w:val="24"/>
          <w:szCs w:val="24"/>
        </w:rPr>
      </w:pPr>
      <w:r>
        <w:rPr>
          <w:sz w:val="24"/>
          <w:szCs w:val="24"/>
        </w:rPr>
        <w:t xml:space="preserve">6.3.2 Havendo a liberação do(s) </w:t>
      </w:r>
      <w:r>
        <w:rPr>
          <w:color w:val="231F20"/>
          <w:sz w:val="24"/>
          <w:szCs w:val="24"/>
        </w:rPr>
        <w:t>fornecedor(es)</w:t>
      </w:r>
      <w:r>
        <w:rPr>
          <w:sz w:val="24"/>
          <w:szCs w:val="24"/>
        </w:rPr>
        <w:t xml:space="preserve">, nos termos do item 6.3.1, o </w:t>
      </w:r>
      <w:r>
        <w:rPr>
          <w:bCs/>
          <w:color w:val="231F20"/>
          <w:sz w:val="24"/>
          <w:szCs w:val="24"/>
        </w:rPr>
        <w:t>órgão gerenciador</w:t>
      </w:r>
      <w:r>
        <w:rPr>
          <w:sz w:val="24"/>
          <w:szCs w:val="24"/>
        </w:rPr>
        <w:t xml:space="preserve"> deverá convocar os proponentes do Cadastro de Reserva, na ordem de classificação, para verificar se aceitam reduzir seus preços aos valores de mercado, observado o disposto no art. 19, § 3º, do Decreto nº 46/2025. </w:t>
      </w:r>
    </w:p>
    <w:p w14:paraId="40E0325F">
      <w:pPr>
        <w:autoSpaceDE w:val="0"/>
        <w:autoSpaceDN w:val="0"/>
        <w:adjustRightInd w:val="0"/>
        <w:spacing w:line="288" w:lineRule="auto"/>
        <w:contextualSpacing/>
        <w:jc w:val="both"/>
        <w:rPr>
          <w:sz w:val="24"/>
          <w:szCs w:val="24"/>
        </w:rPr>
      </w:pPr>
    </w:p>
    <w:p w14:paraId="73F949A4">
      <w:pPr>
        <w:autoSpaceDE w:val="0"/>
        <w:autoSpaceDN w:val="0"/>
        <w:adjustRightInd w:val="0"/>
        <w:spacing w:line="288" w:lineRule="auto"/>
        <w:contextualSpacing/>
        <w:jc w:val="both"/>
        <w:rPr>
          <w:sz w:val="24"/>
          <w:szCs w:val="24"/>
        </w:rPr>
      </w:pPr>
      <w:r>
        <w:rPr>
          <w:sz w:val="24"/>
          <w:szCs w:val="24"/>
        </w:rPr>
        <w:t xml:space="preserve">6.3.3 A ordem de classificação dos fornecedores que aceitarem reduzir seus preços aos valores de mercado observará a classificação original. </w:t>
      </w:r>
    </w:p>
    <w:p w14:paraId="3D8AFE55">
      <w:pPr>
        <w:autoSpaceDE w:val="0"/>
        <w:autoSpaceDN w:val="0"/>
        <w:adjustRightInd w:val="0"/>
        <w:spacing w:line="288" w:lineRule="auto"/>
        <w:contextualSpacing/>
        <w:jc w:val="both"/>
        <w:rPr>
          <w:sz w:val="24"/>
          <w:szCs w:val="24"/>
        </w:rPr>
      </w:pPr>
    </w:p>
    <w:p w14:paraId="184BD022">
      <w:pPr>
        <w:autoSpaceDE w:val="0"/>
        <w:autoSpaceDN w:val="0"/>
        <w:adjustRightInd w:val="0"/>
        <w:spacing w:line="288" w:lineRule="auto"/>
        <w:contextualSpacing/>
        <w:jc w:val="both"/>
        <w:rPr>
          <w:sz w:val="24"/>
          <w:szCs w:val="24"/>
        </w:rPr>
      </w:pPr>
      <w:r>
        <w:rPr>
          <w:sz w:val="24"/>
          <w:szCs w:val="24"/>
        </w:rPr>
        <w:t xml:space="preserve">6.3.4 Não havendo êxito nas negociações, o </w:t>
      </w:r>
      <w:r>
        <w:rPr>
          <w:bCs/>
          <w:color w:val="231F20"/>
          <w:sz w:val="24"/>
          <w:szCs w:val="24"/>
        </w:rPr>
        <w:t>gerenciador</w:t>
      </w:r>
      <w:r>
        <w:rPr>
          <w:sz w:val="24"/>
          <w:szCs w:val="24"/>
        </w:rPr>
        <w:t xml:space="preserve"> deverá proceder ao cancelamento da Ata de Registro de Preços, nos termos do art. 32 do Decreto nº 46/2025 e da cláusula décima desta Ata, com a adoção das medidas cabíveis para obtenção da contratação mais vantajosa. </w:t>
      </w:r>
    </w:p>
    <w:p w14:paraId="2F7C663E">
      <w:pPr>
        <w:autoSpaceDE w:val="0"/>
        <w:autoSpaceDN w:val="0"/>
        <w:adjustRightInd w:val="0"/>
        <w:spacing w:line="288" w:lineRule="auto"/>
        <w:contextualSpacing/>
        <w:jc w:val="both"/>
        <w:rPr>
          <w:sz w:val="24"/>
          <w:szCs w:val="24"/>
        </w:rPr>
      </w:pPr>
    </w:p>
    <w:p w14:paraId="526B33B6">
      <w:pPr>
        <w:autoSpaceDE w:val="0"/>
        <w:autoSpaceDN w:val="0"/>
        <w:adjustRightInd w:val="0"/>
        <w:spacing w:line="288" w:lineRule="auto"/>
        <w:contextualSpacing/>
        <w:jc w:val="both"/>
        <w:rPr>
          <w:b/>
          <w:bCs/>
          <w:color w:val="231F20"/>
          <w:sz w:val="24"/>
          <w:szCs w:val="24"/>
        </w:rPr>
      </w:pPr>
      <w:r>
        <w:rPr>
          <w:sz w:val="24"/>
          <w:szCs w:val="24"/>
        </w:rPr>
        <w:t xml:space="preserve">6.3.5 Caso haja a redução do preço registrado, o </w:t>
      </w:r>
      <w:r>
        <w:rPr>
          <w:bCs/>
          <w:color w:val="231F20"/>
          <w:sz w:val="24"/>
          <w:szCs w:val="24"/>
        </w:rPr>
        <w:t>gerenciador</w:t>
      </w:r>
      <w:r>
        <w:rPr>
          <w:sz w:val="24"/>
          <w:szCs w:val="24"/>
        </w:rPr>
        <w:t xml:space="preserve"> deverá comunicar aos órgãos e as entidades que tiverem formalizado contratos, para que avaliem a necessidade de efetuar a revisão dos preços contratados.</w:t>
      </w:r>
    </w:p>
    <w:p w14:paraId="75ABA920">
      <w:pPr>
        <w:autoSpaceDE w:val="0"/>
        <w:autoSpaceDN w:val="0"/>
        <w:adjustRightInd w:val="0"/>
        <w:spacing w:line="288" w:lineRule="auto"/>
        <w:contextualSpacing/>
        <w:jc w:val="both"/>
        <w:rPr>
          <w:b/>
          <w:bCs/>
          <w:color w:val="231F20"/>
          <w:sz w:val="24"/>
          <w:szCs w:val="24"/>
        </w:rPr>
      </w:pPr>
    </w:p>
    <w:p w14:paraId="558432ED">
      <w:pPr>
        <w:autoSpaceDE w:val="0"/>
        <w:autoSpaceDN w:val="0"/>
        <w:adjustRightInd w:val="0"/>
        <w:spacing w:line="288" w:lineRule="auto"/>
        <w:contextualSpacing/>
        <w:jc w:val="both"/>
        <w:rPr>
          <w:color w:val="231F20"/>
          <w:sz w:val="24"/>
          <w:szCs w:val="24"/>
        </w:rPr>
      </w:pPr>
      <w:r>
        <w:rPr>
          <w:bCs/>
          <w:sz w:val="24"/>
          <w:szCs w:val="24"/>
        </w:rPr>
        <w:t>6.4 Q</w:t>
      </w:r>
      <w:r>
        <w:rPr>
          <w:color w:val="231F20"/>
          <w:sz w:val="24"/>
          <w:szCs w:val="24"/>
        </w:rPr>
        <w:t xml:space="preserve">uando o preço de mercado se tornar superior aos preços registrados e o fornecedor, mediante requerimento devidamente fundamentado, não puder cumprir as obrigações contidas na Ata de Registro de Preços, </w:t>
      </w:r>
      <w:r>
        <w:rPr>
          <w:sz w:val="24"/>
          <w:szCs w:val="24"/>
        </w:rPr>
        <w:t xml:space="preserve">ser-lhe-á facultado requerer ao </w:t>
      </w:r>
      <w:r>
        <w:rPr>
          <w:bCs/>
          <w:color w:val="231F20"/>
          <w:sz w:val="24"/>
          <w:szCs w:val="24"/>
        </w:rPr>
        <w:t>gerenciador</w:t>
      </w:r>
      <w:r>
        <w:rPr>
          <w:sz w:val="24"/>
          <w:szCs w:val="24"/>
        </w:rPr>
        <w:t xml:space="preserve"> a alteração dos preços registrados, mediante comprovação de fato superveniente que supostamente o impossibilite de cumprir o compromisso.</w:t>
      </w:r>
      <w:r>
        <w:rPr>
          <w:color w:val="231F20"/>
          <w:sz w:val="24"/>
          <w:szCs w:val="24"/>
        </w:rPr>
        <w:t xml:space="preserve"> </w:t>
      </w:r>
    </w:p>
    <w:p w14:paraId="4BA28324">
      <w:pPr>
        <w:autoSpaceDE w:val="0"/>
        <w:autoSpaceDN w:val="0"/>
        <w:adjustRightInd w:val="0"/>
        <w:spacing w:line="288" w:lineRule="auto"/>
        <w:contextualSpacing/>
        <w:jc w:val="both"/>
        <w:rPr>
          <w:color w:val="231F20"/>
          <w:sz w:val="24"/>
          <w:szCs w:val="24"/>
        </w:rPr>
      </w:pPr>
    </w:p>
    <w:p w14:paraId="348DDC23">
      <w:pPr>
        <w:autoSpaceDE w:val="0"/>
        <w:autoSpaceDN w:val="0"/>
        <w:adjustRightInd w:val="0"/>
        <w:spacing w:line="288" w:lineRule="auto"/>
        <w:contextualSpacing/>
        <w:jc w:val="both"/>
        <w:rPr>
          <w:color w:val="231F20"/>
          <w:sz w:val="24"/>
          <w:szCs w:val="24"/>
        </w:rPr>
      </w:pPr>
      <w:r>
        <w:rPr>
          <w:color w:val="231F20"/>
          <w:sz w:val="24"/>
          <w:szCs w:val="24"/>
        </w:rPr>
        <w:t xml:space="preserve">6.4.1 </w:t>
      </w:r>
      <w:r>
        <w:rPr>
          <w:sz w:val="24"/>
          <w:szCs w:val="24"/>
        </w:rPr>
        <w:t xml:space="preserve">O </w:t>
      </w:r>
      <w:r>
        <w:rPr>
          <w:color w:val="231F20"/>
          <w:sz w:val="24"/>
          <w:szCs w:val="24"/>
        </w:rPr>
        <w:t>fornecedor</w:t>
      </w:r>
      <w:r>
        <w:rPr>
          <w:sz w:val="24"/>
          <w:szCs w:val="24"/>
        </w:rPr>
        <w:t xml:space="preserve"> deverá encaminhar, juntamente com o pedido de alteração, documentação comprobatória ou planilha de custos que demonstre que o preço registrado se tornou inviável frente às condições inicialmente pactuadas, cabendo ao </w:t>
      </w:r>
      <w:r>
        <w:rPr>
          <w:bCs/>
          <w:color w:val="231F20"/>
          <w:sz w:val="24"/>
          <w:szCs w:val="24"/>
        </w:rPr>
        <w:t>gerenciador</w:t>
      </w:r>
      <w:r>
        <w:rPr>
          <w:sz w:val="24"/>
          <w:szCs w:val="24"/>
        </w:rPr>
        <w:t xml:space="preserve"> a análise e deliberação a respeito do pedido.</w:t>
      </w:r>
    </w:p>
    <w:p w14:paraId="4142FF4F">
      <w:pPr>
        <w:autoSpaceDE w:val="0"/>
        <w:autoSpaceDN w:val="0"/>
        <w:adjustRightInd w:val="0"/>
        <w:spacing w:line="288" w:lineRule="auto"/>
        <w:contextualSpacing/>
        <w:jc w:val="both"/>
        <w:rPr>
          <w:color w:val="231F20"/>
          <w:sz w:val="24"/>
          <w:szCs w:val="24"/>
        </w:rPr>
      </w:pPr>
    </w:p>
    <w:p w14:paraId="42495650">
      <w:pPr>
        <w:autoSpaceDE w:val="0"/>
        <w:autoSpaceDN w:val="0"/>
        <w:adjustRightInd w:val="0"/>
        <w:spacing w:line="288" w:lineRule="auto"/>
        <w:contextualSpacing/>
        <w:jc w:val="both"/>
        <w:rPr>
          <w:sz w:val="24"/>
          <w:szCs w:val="24"/>
        </w:rPr>
      </w:pPr>
      <w:r>
        <w:rPr>
          <w:sz w:val="24"/>
          <w:szCs w:val="24"/>
        </w:rPr>
        <w:t xml:space="preserve">6.4.2 Na hipótese de deferimento do pedido, o </w:t>
      </w:r>
      <w:r>
        <w:rPr>
          <w:bCs/>
          <w:color w:val="231F20"/>
          <w:sz w:val="24"/>
          <w:szCs w:val="24"/>
        </w:rPr>
        <w:t>gerenciador</w:t>
      </w:r>
      <w:r>
        <w:rPr>
          <w:sz w:val="24"/>
          <w:szCs w:val="24"/>
        </w:rPr>
        <w:t xml:space="preserve"> procederá à atualização do preço registrado, de acordo com a realidade dos valores praticados pelo mercado. </w:t>
      </w:r>
    </w:p>
    <w:p w14:paraId="12810206">
      <w:pPr>
        <w:autoSpaceDE w:val="0"/>
        <w:autoSpaceDN w:val="0"/>
        <w:adjustRightInd w:val="0"/>
        <w:spacing w:line="288" w:lineRule="auto"/>
        <w:contextualSpacing/>
        <w:jc w:val="both"/>
        <w:rPr>
          <w:color w:val="231F20"/>
          <w:sz w:val="24"/>
          <w:szCs w:val="24"/>
        </w:rPr>
      </w:pPr>
    </w:p>
    <w:p w14:paraId="7A37542D">
      <w:pPr>
        <w:autoSpaceDE w:val="0"/>
        <w:autoSpaceDN w:val="0"/>
        <w:adjustRightInd w:val="0"/>
        <w:spacing w:line="288" w:lineRule="auto"/>
        <w:contextualSpacing/>
        <w:jc w:val="both"/>
        <w:rPr>
          <w:color w:val="231F20"/>
          <w:sz w:val="24"/>
          <w:szCs w:val="24"/>
        </w:rPr>
      </w:pPr>
      <w:r>
        <w:rPr>
          <w:color w:val="231F20"/>
          <w:sz w:val="24"/>
          <w:szCs w:val="24"/>
        </w:rPr>
        <w:t xml:space="preserve">6.4.3 O </w:t>
      </w:r>
      <w:r>
        <w:rPr>
          <w:bCs/>
          <w:color w:val="231F20"/>
          <w:sz w:val="24"/>
          <w:szCs w:val="24"/>
        </w:rPr>
        <w:t xml:space="preserve">fornecedor </w:t>
      </w:r>
      <w:r>
        <w:rPr>
          <w:color w:val="231F20"/>
          <w:sz w:val="24"/>
          <w:szCs w:val="24"/>
        </w:rPr>
        <w:t xml:space="preserve">do compromisso assumido poderá ser liberado pelo </w:t>
      </w:r>
      <w:r>
        <w:rPr>
          <w:bCs/>
          <w:color w:val="231F20"/>
          <w:sz w:val="24"/>
          <w:szCs w:val="24"/>
        </w:rPr>
        <w:t>gerenciador</w:t>
      </w:r>
      <w:r>
        <w:rPr>
          <w:color w:val="231F20"/>
          <w:sz w:val="24"/>
          <w:szCs w:val="24"/>
        </w:rPr>
        <w:t>, caso a comunicação ocorra antes do pedido de fornecimento, e sem aplicação de penalidades administrativas, se confirmada a veracidade dos motivos e comprovantes apresentados.</w:t>
      </w:r>
    </w:p>
    <w:p w14:paraId="37A544CC">
      <w:pPr>
        <w:autoSpaceDE w:val="0"/>
        <w:autoSpaceDN w:val="0"/>
        <w:adjustRightInd w:val="0"/>
        <w:spacing w:line="288" w:lineRule="auto"/>
        <w:contextualSpacing/>
        <w:jc w:val="both"/>
        <w:rPr>
          <w:color w:val="231F20"/>
          <w:sz w:val="24"/>
          <w:szCs w:val="24"/>
        </w:rPr>
      </w:pPr>
    </w:p>
    <w:p w14:paraId="5A4D2917">
      <w:pPr>
        <w:autoSpaceDE w:val="0"/>
        <w:autoSpaceDN w:val="0"/>
        <w:adjustRightInd w:val="0"/>
        <w:spacing w:line="288" w:lineRule="auto"/>
        <w:contextualSpacing/>
        <w:jc w:val="both"/>
        <w:rPr>
          <w:color w:val="231F20"/>
          <w:sz w:val="24"/>
          <w:szCs w:val="24"/>
        </w:rPr>
      </w:pPr>
      <w:r>
        <w:rPr>
          <w:color w:val="231F20"/>
          <w:sz w:val="24"/>
          <w:szCs w:val="24"/>
        </w:rPr>
        <w:t xml:space="preserve">6.4.4 </w:t>
      </w:r>
      <w:r>
        <w:rPr>
          <w:sz w:val="24"/>
          <w:szCs w:val="24"/>
        </w:rPr>
        <w:t xml:space="preserve">Caso não demonstrada a existência de fato superveniente que torne insubsistente o preço registrado, o pedido será indeferido pelo </w:t>
      </w:r>
      <w:r>
        <w:rPr>
          <w:bCs/>
          <w:color w:val="231F20"/>
          <w:sz w:val="24"/>
          <w:szCs w:val="24"/>
        </w:rPr>
        <w:t>gerenciador,</w:t>
      </w:r>
      <w:r>
        <w:rPr>
          <w:sz w:val="24"/>
          <w:szCs w:val="24"/>
        </w:rPr>
        <w:t xml:space="preserve"> ficando o fornecedor obrigado a cumprir as obrigações contidas na Ata de Registro de Preços, sob pena de cancelamento do seu registro, nos termos do art. 31 do Decreto nº 46/2025, sem prejuízo das sanções previstas na Lei nº 14.133/2021, no instrumento convocatório, quando houver,</w:t>
      </w:r>
      <w:r>
        <w:rPr>
          <w:rFonts w:eastAsia="Arial"/>
          <w:sz w:val="24"/>
          <w:szCs w:val="24"/>
        </w:rPr>
        <w:t xml:space="preserve"> e no Termo de Referência</w:t>
      </w:r>
      <w:r>
        <w:rPr>
          <w:sz w:val="24"/>
          <w:szCs w:val="24"/>
        </w:rPr>
        <w:t>, e em outras legislações aplicáveis.</w:t>
      </w:r>
    </w:p>
    <w:p w14:paraId="5D2E2F2C">
      <w:pPr>
        <w:autoSpaceDE w:val="0"/>
        <w:autoSpaceDN w:val="0"/>
        <w:adjustRightInd w:val="0"/>
        <w:spacing w:line="288" w:lineRule="auto"/>
        <w:contextualSpacing/>
        <w:jc w:val="both"/>
        <w:rPr>
          <w:b/>
          <w:bCs/>
          <w:color w:val="231F20"/>
          <w:sz w:val="24"/>
          <w:szCs w:val="24"/>
        </w:rPr>
      </w:pPr>
    </w:p>
    <w:p w14:paraId="4FD48054">
      <w:pPr>
        <w:autoSpaceDE w:val="0"/>
        <w:autoSpaceDN w:val="0"/>
        <w:adjustRightInd w:val="0"/>
        <w:spacing w:line="288" w:lineRule="auto"/>
        <w:contextualSpacing/>
        <w:jc w:val="both"/>
        <w:rPr>
          <w:sz w:val="24"/>
          <w:szCs w:val="24"/>
        </w:rPr>
      </w:pPr>
      <w:r>
        <w:rPr>
          <w:sz w:val="24"/>
          <w:szCs w:val="24"/>
        </w:rPr>
        <w:t xml:space="preserve">6.4.4.1 Havendo cancelamento do registro do fornecedor, nos termos do item 6.4.4, o </w:t>
      </w:r>
      <w:r>
        <w:rPr>
          <w:bCs/>
          <w:color w:val="231F20"/>
          <w:sz w:val="24"/>
          <w:szCs w:val="24"/>
        </w:rPr>
        <w:t>gerenciador</w:t>
      </w:r>
      <w:r>
        <w:rPr>
          <w:sz w:val="24"/>
          <w:szCs w:val="24"/>
        </w:rPr>
        <w:t xml:space="preserve"> deverá convocar os proponentes do Cadastro de Reserva, observada a ordem de classificação, para verificar se aceitam manter seus preços registrados, observado o disposto no art. 19, § 3º, do Decreto nº 56/2025. </w:t>
      </w:r>
    </w:p>
    <w:p w14:paraId="264BEC16">
      <w:pPr>
        <w:autoSpaceDE w:val="0"/>
        <w:autoSpaceDN w:val="0"/>
        <w:adjustRightInd w:val="0"/>
        <w:spacing w:line="288" w:lineRule="auto"/>
        <w:contextualSpacing/>
        <w:jc w:val="both"/>
        <w:rPr>
          <w:sz w:val="24"/>
          <w:szCs w:val="24"/>
        </w:rPr>
      </w:pPr>
    </w:p>
    <w:p w14:paraId="49ACCC1A">
      <w:pPr>
        <w:autoSpaceDE w:val="0"/>
        <w:autoSpaceDN w:val="0"/>
        <w:adjustRightInd w:val="0"/>
        <w:spacing w:line="288" w:lineRule="auto"/>
        <w:contextualSpacing/>
        <w:jc w:val="both"/>
        <w:rPr>
          <w:sz w:val="24"/>
          <w:szCs w:val="24"/>
        </w:rPr>
      </w:pPr>
      <w:r>
        <w:rPr>
          <w:sz w:val="24"/>
          <w:szCs w:val="24"/>
        </w:rPr>
        <w:t xml:space="preserve">6.4.4.2 Não havendo êxito nas negociações, o </w:t>
      </w:r>
      <w:r>
        <w:rPr>
          <w:bCs/>
          <w:color w:val="231F20"/>
          <w:sz w:val="24"/>
          <w:szCs w:val="24"/>
        </w:rPr>
        <w:t>gerenciador</w:t>
      </w:r>
      <w:r>
        <w:rPr>
          <w:sz w:val="24"/>
          <w:szCs w:val="24"/>
        </w:rPr>
        <w:t xml:space="preserve"> deverá proceder ao cancelamento da Ata de Registro de Preços, adotando as medidas cabíveis para obtenção da contratação mais vantajosa. </w:t>
      </w:r>
    </w:p>
    <w:p w14:paraId="051EDF8F">
      <w:pPr>
        <w:autoSpaceDE w:val="0"/>
        <w:autoSpaceDN w:val="0"/>
        <w:adjustRightInd w:val="0"/>
        <w:spacing w:line="288" w:lineRule="auto"/>
        <w:contextualSpacing/>
        <w:jc w:val="both"/>
        <w:rPr>
          <w:sz w:val="24"/>
          <w:szCs w:val="24"/>
        </w:rPr>
      </w:pPr>
    </w:p>
    <w:p w14:paraId="0C7329D3">
      <w:pPr>
        <w:autoSpaceDE w:val="0"/>
        <w:autoSpaceDN w:val="0"/>
        <w:adjustRightInd w:val="0"/>
        <w:spacing w:line="288" w:lineRule="auto"/>
        <w:contextualSpacing/>
        <w:jc w:val="both"/>
        <w:rPr>
          <w:sz w:val="24"/>
          <w:szCs w:val="24"/>
        </w:rPr>
      </w:pPr>
      <w:r>
        <w:rPr>
          <w:sz w:val="24"/>
          <w:szCs w:val="24"/>
        </w:rPr>
        <w:t xml:space="preserve">6.5 Os novos valores a serem registrados, conforme itens 6.3.5 e 6.4.2, deverão ser formalizados mediante termo aditivo à Ata de Registro de Preços. </w:t>
      </w:r>
    </w:p>
    <w:p w14:paraId="391831F5">
      <w:pPr>
        <w:autoSpaceDE w:val="0"/>
        <w:autoSpaceDN w:val="0"/>
        <w:adjustRightInd w:val="0"/>
        <w:spacing w:line="288" w:lineRule="auto"/>
        <w:contextualSpacing/>
        <w:jc w:val="both"/>
        <w:rPr>
          <w:sz w:val="24"/>
          <w:szCs w:val="24"/>
        </w:rPr>
      </w:pPr>
    </w:p>
    <w:p w14:paraId="70416795">
      <w:pPr>
        <w:autoSpaceDE w:val="0"/>
        <w:autoSpaceDN w:val="0"/>
        <w:adjustRightInd w:val="0"/>
        <w:spacing w:line="288" w:lineRule="auto"/>
        <w:contextualSpacing/>
        <w:jc w:val="both"/>
        <w:rPr>
          <w:sz w:val="24"/>
          <w:szCs w:val="24"/>
        </w:rPr>
      </w:pPr>
      <w:r>
        <w:rPr>
          <w:sz w:val="24"/>
          <w:szCs w:val="24"/>
        </w:rPr>
        <w:t>6.6 Os preços registrados poderão, ainda, ser reajustados ou repactuados, conforme estabelecido no instrumento convocatório, quando houver,</w:t>
      </w:r>
      <w:r>
        <w:rPr>
          <w:rFonts w:eastAsia="Arial"/>
          <w:sz w:val="24"/>
          <w:szCs w:val="24"/>
        </w:rPr>
        <w:t xml:space="preserve"> e no Termo de Referência</w:t>
      </w:r>
      <w:r>
        <w:rPr>
          <w:sz w:val="24"/>
          <w:szCs w:val="24"/>
        </w:rPr>
        <w:t>, nos termos da Lei nº 14.133/ 2021.</w:t>
      </w:r>
    </w:p>
    <w:p w14:paraId="182FA855">
      <w:pPr>
        <w:autoSpaceDE w:val="0"/>
        <w:autoSpaceDN w:val="0"/>
        <w:adjustRightInd w:val="0"/>
        <w:spacing w:line="288" w:lineRule="auto"/>
        <w:contextualSpacing/>
        <w:jc w:val="both"/>
        <w:rPr>
          <w:sz w:val="24"/>
          <w:szCs w:val="24"/>
        </w:rPr>
      </w:pPr>
    </w:p>
    <w:p w14:paraId="77597940">
      <w:pPr>
        <w:autoSpaceDE w:val="0"/>
        <w:autoSpaceDN w:val="0"/>
        <w:adjustRightInd w:val="0"/>
        <w:spacing w:line="288" w:lineRule="auto"/>
        <w:contextualSpacing/>
        <w:jc w:val="both"/>
        <w:rPr>
          <w:sz w:val="24"/>
          <w:szCs w:val="24"/>
        </w:rPr>
      </w:pPr>
      <w:r>
        <w:rPr>
          <w:sz w:val="24"/>
          <w:szCs w:val="24"/>
        </w:rPr>
        <w:t>6.6.1 O reajustamento ou repactuação poderá ser efetuado mediante apostilamento.</w:t>
      </w:r>
    </w:p>
    <w:p w14:paraId="3E8D8B2E">
      <w:pPr>
        <w:spacing w:line="288" w:lineRule="auto"/>
        <w:contextualSpacing/>
        <w:jc w:val="both"/>
        <w:rPr>
          <w:sz w:val="24"/>
          <w:szCs w:val="24"/>
        </w:rPr>
      </w:pPr>
    </w:p>
    <w:p w14:paraId="57213229">
      <w:pPr>
        <w:spacing w:line="288" w:lineRule="auto"/>
        <w:contextualSpacing/>
        <w:jc w:val="both"/>
        <w:rPr>
          <w:rFonts w:eastAsia="Arial"/>
          <w:b/>
          <w:sz w:val="24"/>
          <w:szCs w:val="24"/>
        </w:rPr>
      </w:pPr>
      <w:r>
        <w:rPr>
          <w:rFonts w:eastAsia="Arial"/>
          <w:b/>
          <w:sz w:val="24"/>
          <w:szCs w:val="24"/>
        </w:rPr>
        <w:t>CLÁUSULA SÉTIMA: DOS LOCAIS DE PRESTAÇÃO DOS SERVIÇOS</w:t>
      </w:r>
    </w:p>
    <w:p w14:paraId="2F8E2F8E">
      <w:pPr>
        <w:autoSpaceDE w:val="0"/>
        <w:autoSpaceDN w:val="0"/>
        <w:adjustRightInd w:val="0"/>
        <w:spacing w:line="288" w:lineRule="auto"/>
        <w:contextualSpacing/>
        <w:jc w:val="both"/>
        <w:rPr>
          <w:color w:val="231F20"/>
          <w:sz w:val="24"/>
          <w:szCs w:val="24"/>
        </w:rPr>
      </w:pPr>
    </w:p>
    <w:p w14:paraId="7CC31A32">
      <w:pPr>
        <w:autoSpaceDE w:val="0"/>
        <w:autoSpaceDN w:val="0"/>
        <w:adjustRightInd w:val="0"/>
        <w:spacing w:line="288" w:lineRule="auto"/>
        <w:contextualSpacing/>
        <w:jc w:val="both"/>
        <w:rPr>
          <w:color w:val="231F20"/>
          <w:sz w:val="24"/>
          <w:szCs w:val="24"/>
        </w:rPr>
      </w:pPr>
      <w:r>
        <w:rPr>
          <w:color w:val="231F20"/>
          <w:sz w:val="24"/>
          <w:szCs w:val="24"/>
        </w:rPr>
        <w:t xml:space="preserve">7.1 Os locais </w:t>
      </w:r>
      <w:r>
        <w:rPr>
          <w:color w:val="000000" w:themeColor="text1"/>
          <w:sz w:val="24"/>
          <w:szCs w:val="24"/>
          <w14:textFill>
            <w14:solidFill>
              <w14:schemeClr w14:val="tx1"/>
            </w14:solidFill>
          </w14:textFill>
        </w:rPr>
        <w:t xml:space="preserve">de entrega dos bens objeto </w:t>
      </w:r>
      <w:r>
        <w:rPr>
          <w:color w:val="231F20"/>
          <w:sz w:val="24"/>
          <w:szCs w:val="24"/>
        </w:rPr>
        <w:t>do registro de preços estão listados no Termo de Referência.</w:t>
      </w:r>
    </w:p>
    <w:p w14:paraId="63D0F888">
      <w:pPr>
        <w:spacing w:line="288" w:lineRule="auto"/>
        <w:contextualSpacing/>
        <w:jc w:val="both"/>
        <w:rPr>
          <w:rFonts w:eastAsia="Arial"/>
          <w:b/>
          <w:sz w:val="24"/>
          <w:szCs w:val="24"/>
          <w:u w:val="single"/>
        </w:rPr>
      </w:pPr>
    </w:p>
    <w:p w14:paraId="62DB69B9">
      <w:pPr>
        <w:spacing w:line="288" w:lineRule="auto"/>
        <w:contextualSpacing/>
        <w:jc w:val="both"/>
        <w:rPr>
          <w:rFonts w:eastAsia="Arial"/>
          <w:b/>
          <w:sz w:val="24"/>
          <w:szCs w:val="24"/>
        </w:rPr>
      </w:pPr>
      <w:r>
        <w:rPr>
          <w:rFonts w:eastAsia="Arial"/>
          <w:b/>
          <w:sz w:val="24"/>
          <w:szCs w:val="24"/>
        </w:rPr>
        <w:t>CLÁUSULA OITAVA: DO PRAZO DE VALIDADE DA ATA DE REGISTRO DE PREÇOS</w:t>
      </w:r>
    </w:p>
    <w:p w14:paraId="1673C2C3">
      <w:pPr>
        <w:autoSpaceDE w:val="0"/>
        <w:autoSpaceDN w:val="0"/>
        <w:adjustRightInd w:val="0"/>
        <w:spacing w:line="288" w:lineRule="auto"/>
        <w:contextualSpacing/>
        <w:jc w:val="both"/>
        <w:rPr>
          <w:color w:val="231F20"/>
          <w:sz w:val="24"/>
          <w:szCs w:val="24"/>
        </w:rPr>
      </w:pPr>
    </w:p>
    <w:p w14:paraId="72038389">
      <w:pPr>
        <w:autoSpaceDE w:val="0"/>
        <w:autoSpaceDN w:val="0"/>
        <w:adjustRightInd w:val="0"/>
        <w:spacing w:line="288" w:lineRule="auto"/>
        <w:contextualSpacing/>
        <w:jc w:val="both"/>
        <w:rPr>
          <w:color w:val="231F20"/>
          <w:sz w:val="24"/>
          <w:szCs w:val="24"/>
        </w:rPr>
      </w:pPr>
      <w:r>
        <w:rPr>
          <w:color w:val="231F20"/>
          <w:sz w:val="24"/>
          <w:szCs w:val="24"/>
        </w:rPr>
        <w:t xml:space="preserve">8.1 O prazo de validade da Ata de Registro de Preços é de 1 (um) ano, </w:t>
      </w:r>
      <w:r>
        <w:rPr>
          <w:color w:val="000000"/>
          <w:sz w:val="24"/>
          <w:szCs w:val="24"/>
        </w:rPr>
        <w:t xml:space="preserve">contado a partir </w:t>
      </w:r>
      <w:r>
        <w:rPr>
          <w:sz w:val="24"/>
          <w:szCs w:val="24"/>
        </w:rPr>
        <w:t>do 1º (primeiro) dia útil subsequente à data de divulgação no PNCP.</w:t>
      </w:r>
      <w:r>
        <w:rPr>
          <w:color w:val="231F20"/>
          <w:sz w:val="24"/>
          <w:szCs w:val="24"/>
        </w:rPr>
        <w:t xml:space="preserve"> </w:t>
      </w:r>
    </w:p>
    <w:p w14:paraId="0BDA10AA">
      <w:pPr>
        <w:autoSpaceDE w:val="0"/>
        <w:autoSpaceDN w:val="0"/>
        <w:adjustRightInd w:val="0"/>
        <w:spacing w:line="288" w:lineRule="auto"/>
        <w:contextualSpacing/>
        <w:jc w:val="both"/>
        <w:rPr>
          <w:color w:val="231F20"/>
          <w:sz w:val="24"/>
          <w:szCs w:val="24"/>
        </w:rPr>
      </w:pPr>
    </w:p>
    <w:p w14:paraId="47BE00D4">
      <w:pPr>
        <w:autoSpaceDE w:val="0"/>
        <w:autoSpaceDN w:val="0"/>
        <w:adjustRightInd w:val="0"/>
        <w:spacing w:line="288" w:lineRule="auto"/>
        <w:contextualSpacing/>
        <w:jc w:val="both"/>
        <w:rPr>
          <w:sz w:val="24"/>
          <w:szCs w:val="24"/>
        </w:rPr>
      </w:pPr>
      <w:r>
        <w:rPr>
          <w:color w:val="231F20"/>
          <w:sz w:val="24"/>
          <w:szCs w:val="24"/>
        </w:rPr>
        <w:t xml:space="preserve">8.2 </w:t>
      </w:r>
      <w:r>
        <w:rPr>
          <w:sz w:val="24"/>
          <w:szCs w:val="24"/>
        </w:rPr>
        <w:t>O prazo de vigência da Ata de Registro de Preços poderá ser prorrogado, por igual período, mediante termo aditivo, desde que as condições e os preços permaneçam vantajosos, observados os seguintes requisitos:</w:t>
      </w:r>
    </w:p>
    <w:p w14:paraId="5F32B242">
      <w:pPr>
        <w:autoSpaceDE w:val="0"/>
        <w:autoSpaceDN w:val="0"/>
        <w:adjustRightInd w:val="0"/>
        <w:spacing w:line="288" w:lineRule="auto"/>
        <w:contextualSpacing/>
        <w:jc w:val="both"/>
        <w:rPr>
          <w:sz w:val="24"/>
          <w:szCs w:val="24"/>
        </w:rPr>
      </w:pPr>
    </w:p>
    <w:p w14:paraId="36ED87BC">
      <w:pPr>
        <w:autoSpaceDE w:val="0"/>
        <w:autoSpaceDN w:val="0"/>
        <w:adjustRightInd w:val="0"/>
        <w:spacing w:line="288" w:lineRule="auto"/>
        <w:contextualSpacing/>
        <w:jc w:val="both"/>
        <w:rPr>
          <w:sz w:val="24"/>
          <w:szCs w:val="24"/>
        </w:rPr>
      </w:pPr>
      <w:r>
        <w:rPr>
          <w:sz w:val="24"/>
          <w:szCs w:val="24"/>
        </w:rPr>
        <w:t xml:space="preserve">8.2.1 somente o saldo remanescente será mantido; </w:t>
      </w:r>
    </w:p>
    <w:p w14:paraId="517D1781">
      <w:pPr>
        <w:autoSpaceDE w:val="0"/>
        <w:autoSpaceDN w:val="0"/>
        <w:adjustRightInd w:val="0"/>
        <w:spacing w:line="288" w:lineRule="auto"/>
        <w:contextualSpacing/>
        <w:jc w:val="both"/>
        <w:rPr>
          <w:sz w:val="24"/>
          <w:szCs w:val="24"/>
        </w:rPr>
      </w:pPr>
    </w:p>
    <w:p w14:paraId="46FB9265">
      <w:pPr>
        <w:autoSpaceDE w:val="0"/>
        <w:autoSpaceDN w:val="0"/>
        <w:adjustRightInd w:val="0"/>
        <w:spacing w:line="288" w:lineRule="auto"/>
        <w:contextualSpacing/>
        <w:jc w:val="both"/>
        <w:rPr>
          <w:sz w:val="24"/>
          <w:szCs w:val="24"/>
        </w:rPr>
      </w:pPr>
      <w:r>
        <w:rPr>
          <w:sz w:val="24"/>
          <w:szCs w:val="24"/>
        </w:rPr>
        <w:t>8.2.2 deverá ser indicado expressamente o prazo de prorrogação; e</w:t>
      </w:r>
    </w:p>
    <w:p w14:paraId="3C2C0110">
      <w:pPr>
        <w:autoSpaceDE w:val="0"/>
        <w:autoSpaceDN w:val="0"/>
        <w:adjustRightInd w:val="0"/>
        <w:spacing w:line="288" w:lineRule="auto"/>
        <w:contextualSpacing/>
        <w:jc w:val="both"/>
        <w:rPr>
          <w:sz w:val="24"/>
          <w:szCs w:val="24"/>
        </w:rPr>
      </w:pPr>
    </w:p>
    <w:p w14:paraId="7F318A84">
      <w:pPr>
        <w:autoSpaceDE w:val="0"/>
        <w:autoSpaceDN w:val="0"/>
        <w:adjustRightInd w:val="0"/>
        <w:spacing w:line="288" w:lineRule="auto"/>
        <w:contextualSpacing/>
        <w:jc w:val="both"/>
        <w:rPr>
          <w:sz w:val="24"/>
          <w:szCs w:val="24"/>
        </w:rPr>
      </w:pPr>
      <w:r>
        <w:rPr>
          <w:sz w:val="24"/>
          <w:szCs w:val="24"/>
        </w:rPr>
        <w:t>8.2.3 deverá ser confirmado se os preços registrados permanecem atualizados, por meio de pesquisa de preços realizada na forma do Decreto nº 46/2025.</w:t>
      </w:r>
    </w:p>
    <w:p w14:paraId="2A9BE3A3">
      <w:pPr>
        <w:spacing w:line="288" w:lineRule="auto"/>
        <w:contextualSpacing/>
        <w:jc w:val="both"/>
        <w:rPr>
          <w:sz w:val="24"/>
          <w:szCs w:val="24"/>
        </w:rPr>
      </w:pPr>
    </w:p>
    <w:p w14:paraId="3978BD75">
      <w:pPr>
        <w:spacing w:line="288" w:lineRule="auto"/>
        <w:contextualSpacing/>
        <w:jc w:val="both"/>
        <w:rPr>
          <w:sz w:val="24"/>
          <w:szCs w:val="24"/>
        </w:rPr>
      </w:pPr>
      <w:r>
        <w:rPr>
          <w:b/>
          <w:sz w:val="24"/>
          <w:szCs w:val="24"/>
        </w:rPr>
        <w:t>CLÁUSULA NONA: DO CADASTRO DE RESERVA</w:t>
      </w:r>
    </w:p>
    <w:p w14:paraId="6808F1CA">
      <w:pPr>
        <w:spacing w:line="288" w:lineRule="auto"/>
        <w:contextualSpacing/>
        <w:jc w:val="both"/>
        <w:rPr>
          <w:rFonts w:eastAsia="Arial"/>
          <w:sz w:val="24"/>
          <w:szCs w:val="24"/>
        </w:rPr>
      </w:pPr>
    </w:p>
    <w:p w14:paraId="3A30CCBE">
      <w:pPr>
        <w:spacing w:line="288" w:lineRule="auto"/>
        <w:contextualSpacing/>
        <w:jc w:val="both"/>
        <w:rPr>
          <w:rFonts w:eastAsia="Arial"/>
          <w:sz w:val="24"/>
          <w:szCs w:val="24"/>
        </w:rPr>
      </w:pPr>
      <w:r>
        <w:rPr>
          <w:rFonts w:eastAsia="Arial"/>
          <w:sz w:val="24"/>
          <w:szCs w:val="24"/>
        </w:rPr>
        <w:t xml:space="preserve">9.1 Fazem parte do Cadastro de Reserva os </w:t>
      </w:r>
      <w:r>
        <w:rPr>
          <w:sz w:val="24"/>
          <w:szCs w:val="24"/>
        </w:rPr>
        <w:t xml:space="preserve">proponentes que aceitaram cotar os bens ou serviços em preços iguais aos do proponente vencedor do certame, observada a ordem de classificação, e os proponentes que mantiveram sua proposta original, conforme informações reunidas no Anexo II – Cadastro de Reserva. </w:t>
      </w:r>
    </w:p>
    <w:p w14:paraId="7D2B603F">
      <w:pPr>
        <w:autoSpaceDE w:val="0"/>
        <w:autoSpaceDN w:val="0"/>
        <w:adjustRightInd w:val="0"/>
        <w:spacing w:line="288" w:lineRule="auto"/>
        <w:contextualSpacing/>
        <w:jc w:val="both"/>
        <w:rPr>
          <w:color w:val="231F20"/>
          <w:sz w:val="24"/>
          <w:szCs w:val="24"/>
        </w:rPr>
      </w:pPr>
    </w:p>
    <w:p w14:paraId="04185F2E">
      <w:pPr>
        <w:autoSpaceDE w:val="0"/>
        <w:autoSpaceDN w:val="0"/>
        <w:adjustRightInd w:val="0"/>
        <w:spacing w:line="288" w:lineRule="auto"/>
        <w:contextualSpacing/>
        <w:jc w:val="both"/>
        <w:rPr>
          <w:color w:val="231F20"/>
          <w:sz w:val="24"/>
          <w:szCs w:val="24"/>
        </w:rPr>
      </w:pPr>
      <w:r>
        <w:rPr>
          <w:color w:val="231F20"/>
          <w:sz w:val="24"/>
          <w:szCs w:val="24"/>
        </w:rPr>
        <w:t>9.2 A ordem de classificação dos registrados na ata deverá ser respeitada para as contratações, cabendo ao gerenciador realizar os devidos registros na Ata de Registro de Preços, para a sua atualização.</w:t>
      </w:r>
    </w:p>
    <w:p w14:paraId="360818CA">
      <w:pPr>
        <w:autoSpaceDE w:val="0"/>
        <w:autoSpaceDN w:val="0"/>
        <w:adjustRightInd w:val="0"/>
        <w:spacing w:line="288" w:lineRule="auto"/>
        <w:contextualSpacing/>
        <w:jc w:val="both"/>
        <w:rPr>
          <w:color w:val="231F20"/>
          <w:sz w:val="24"/>
          <w:szCs w:val="24"/>
        </w:rPr>
      </w:pPr>
    </w:p>
    <w:p w14:paraId="6FABD63F">
      <w:pPr>
        <w:autoSpaceDE w:val="0"/>
        <w:autoSpaceDN w:val="0"/>
        <w:adjustRightInd w:val="0"/>
        <w:spacing w:line="288" w:lineRule="auto"/>
        <w:contextualSpacing/>
        <w:jc w:val="both"/>
        <w:rPr>
          <w:color w:val="231F20"/>
          <w:sz w:val="24"/>
          <w:szCs w:val="24"/>
        </w:rPr>
      </w:pPr>
      <w:r>
        <w:rPr>
          <w:color w:val="231F20"/>
          <w:sz w:val="24"/>
          <w:szCs w:val="24"/>
        </w:rPr>
        <w:t xml:space="preserve">9.3 </w:t>
      </w:r>
      <w:r>
        <w:rPr>
          <w:sz w:val="24"/>
          <w:szCs w:val="24"/>
        </w:rPr>
        <w:t>A habilitação dos proponentes que irão compor o Cadastro de Reserva somente será efetuada quando houver necessidade de contratação dos proponentes remanescentes, na forma do parágrafo 3º do art. 19 do Decreto nº 46/2025.</w:t>
      </w:r>
    </w:p>
    <w:p w14:paraId="2E471910">
      <w:pPr>
        <w:autoSpaceDE w:val="0"/>
        <w:autoSpaceDN w:val="0"/>
        <w:adjustRightInd w:val="0"/>
        <w:spacing w:line="288" w:lineRule="auto"/>
        <w:contextualSpacing/>
        <w:jc w:val="both"/>
        <w:rPr>
          <w:color w:val="231F20"/>
          <w:sz w:val="24"/>
          <w:szCs w:val="24"/>
        </w:rPr>
      </w:pPr>
    </w:p>
    <w:p w14:paraId="78993D1F">
      <w:pPr>
        <w:autoSpaceDE w:val="0"/>
        <w:autoSpaceDN w:val="0"/>
        <w:adjustRightInd w:val="0"/>
        <w:spacing w:line="288" w:lineRule="auto"/>
        <w:contextualSpacing/>
        <w:jc w:val="both"/>
        <w:rPr>
          <w:color w:val="231F20"/>
          <w:sz w:val="24"/>
          <w:szCs w:val="24"/>
        </w:rPr>
      </w:pPr>
      <w:r>
        <w:rPr>
          <w:color w:val="231F20"/>
          <w:sz w:val="24"/>
          <w:szCs w:val="24"/>
        </w:rPr>
        <w:t xml:space="preserve">9.4 </w:t>
      </w:r>
      <w:r>
        <w:rPr>
          <w:sz w:val="24"/>
          <w:szCs w:val="24"/>
        </w:rPr>
        <w:t>É facultado à Administração, quando o convocado não assinar a Ata de Registro de Preços no prazo e condições estabelecidos no instrumento convocatório, quando houver,</w:t>
      </w:r>
      <w:r>
        <w:rPr>
          <w:rFonts w:eastAsia="Arial"/>
          <w:sz w:val="24"/>
          <w:szCs w:val="24"/>
        </w:rPr>
        <w:t xml:space="preserve"> e no Termo de Referência</w:t>
      </w:r>
      <w:r>
        <w:rPr>
          <w:sz w:val="24"/>
          <w:szCs w:val="24"/>
        </w:rPr>
        <w:t xml:space="preserve">, convocar os proponentes do Cadastro de Reserva, na ordem de classificação, para fazê-lo em igual prazo e nas mesmas condições propostas pelo primeiro classificado. </w:t>
      </w:r>
    </w:p>
    <w:p w14:paraId="29CAC4F3">
      <w:pPr>
        <w:autoSpaceDE w:val="0"/>
        <w:autoSpaceDN w:val="0"/>
        <w:adjustRightInd w:val="0"/>
        <w:spacing w:line="288" w:lineRule="auto"/>
        <w:contextualSpacing/>
        <w:jc w:val="both"/>
        <w:rPr>
          <w:color w:val="231F20"/>
          <w:sz w:val="24"/>
          <w:szCs w:val="24"/>
        </w:rPr>
      </w:pPr>
    </w:p>
    <w:p w14:paraId="62F26D53">
      <w:pPr>
        <w:autoSpaceDE w:val="0"/>
        <w:autoSpaceDN w:val="0"/>
        <w:adjustRightInd w:val="0"/>
        <w:spacing w:line="288" w:lineRule="auto"/>
        <w:contextualSpacing/>
        <w:jc w:val="both"/>
        <w:rPr>
          <w:color w:val="231F20"/>
          <w:sz w:val="24"/>
          <w:szCs w:val="24"/>
        </w:rPr>
      </w:pPr>
      <w:r>
        <w:rPr>
          <w:color w:val="231F20"/>
          <w:sz w:val="24"/>
          <w:szCs w:val="24"/>
        </w:rPr>
        <w:t xml:space="preserve">9.5 O Cadastro de Reserva poderá ser empregado no caso de exclusão do fornecedor da Ata de Registro de Preços, nas seguintes ocorrências: </w:t>
      </w:r>
    </w:p>
    <w:p w14:paraId="0958FB32">
      <w:pPr>
        <w:autoSpaceDE w:val="0"/>
        <w:autoSpaceDN w:val="0"/>
        <w:adjustRightInd w:val="0"/>
        <w:spacing w:line="288" w:lineRule="auto"/>
        <w:contextualSpacing/>
        <w:jc w:val="both"/>
        <w:rPr>
          <w:color w:val="231F20"/>
          <w:sz w:val="24"/>
          <w:szCs w:val="24"/>
        </w:rPr>
      </w:pPr>
      <w:r>
        <w:rPr>
          <w:color w:val="231F20"/>
          <w:sz w:val="24"/>
          <w:szCs w:val="24"/>
        </w:rPr>
        <w:t xml:space="preserve"> </w:t>
      </w:r>
    </w:p>
    <w:p w14:paraId="35A9722D">
      <w:pPr>
        <w:autoSpaceDE w:val="0"/>
        <w:autoSpaceDN w:val="0"/>
        <w:adjustRightInd w:val="0"/>
        <w:spacing w:line="288" w:lineRule="auto"/>
        <w:contextualSpacing/>
        <w:jc w:val="both"/>
        <w:rPr>
          <w:color w:val="231F20"/>
          <w:sz w:val="24"/>
          <w:szCs w:val="24"/>
        </w:rPr>
      </w:pPr>
      <w:r>
        <w:rPr>
          <w:color w:val="231F20"/>
          <w:sz w:val="24"/>
          <w:szCs w:val="24"/>
        </w:rPr>
        <w:t xml:space="preserve">a) cancelamento do registro do fornecedor, nas hipóteses previstas na cláusula décima; ou </w:t>
      </w:r>
    </w:p>
    <w:p w14:paraId="408DE6FD">
      <w:pPr>
        <w:autoSpaceDE w:val="0"/>
        <w:autoSpaceDN w:val="0"/>
        <w:adjustRightInd w:val="0"/>
        <w:spacing w:line="288" w:lineRule="auto"/>
        <w:contextualSpacing/>
        <w:jc w:val="both"/>
        <w:rPr>
          <w:color w:val="231F20"/>
          <w:sz w:val="24"/>
          <w:szCs w:val="24"/>
        </w:rPr>
      </w:pPr>
    </w:p>
    <w:p w14:paraId="1EE34C0F">
      <w:pPr>
        <w:autoSpaceDE w:val="0"/>
        <w:autoSpaceDN w:val="0"/>
        <w:adjustRightInd w:val="0"/>
        <w:spacing w:line="288" w:lineRule="auto"/>
        <w:contextualSpacing/>
        <w:jc w:val="both"/>
        <w:rPr>
          <w:color w:val="231F20"/>
          <w:sz w:val="24"/>
          <w:szCs w:val="24"/>
        </w:rPr>
      </w:pPr>
      <w:r>
        <w:rPr>
          <w:color w:val="231F20"/>
          <w:sz w:val="24"/>
          <w:szCs w:val="24"/>
        </w:rPr>
        <w:t>b) cancelamento do registro de preços, nas hipóteses previstas nos arts. 28, § 4º, 29 e 31, do Decreto nº 46/2025, e itens 6.3.4 e 6.4 da cláusula sexta.</w:t>
      </w:r>
    </w:p>
    <w:p w14:paraId="10E98E41">
      <w:pPr>
        <w:pStyle w:val="20"/>
        <w:spacing w:line="288" w:lineRule="auto"/>
        <w:contextualSpacing/>
        <w:jc w:val="both"/>
        <w:rPr>
          <w:rFonts w:ascii="Times New Roman" w:hAnsi="Times New Roman" w:cs="Times New Roman"/>
        </w:rPr>
      </w:pPr>
    </w:p>
    <w:p w14:paraId="6B030CEE">
      <w:pPr>
        <w:spacing w:line="288" w:lineRule="auto"/>
        <w:contextualSpacing/>
        <w:jc w:val="both"/>
        <w:rPr>
          <w:b/>
          <w:sz w:val="24"/>
          <w:szCs w:val="24"/>
        </w:rPr>
      </w:pPr>
      <w:r>
        <w:rPr>
          <w:b/>
          <w:sz w:val="24"/>
          <w:szCs w:val="24"/>
        </w:rPr>
        <w:t xml:space="preserve">CLÁUSULA DÉCIMA: DO CANCELAMENTO DO REGISTRO DO FORNECEDOR </w:t>
      </w:r>
    </w:p>
    <w:p w14:paraId="6F1404F0">
      <w:pPr>
        <w:spacing w:line="288" w:lineRule="auto"/>
        <w:contextualSpacing/>
        <w:jc w:val="both"/>
        <w:rPr>
          <w:color w:val="231F20"/>
          <w:sz w:val="24"/>
          <w:szCs w:val="24"/>
        </w:rPr>
      </w:pPr>
    </w:p>
    <w:p w14:paraId="6E0E5C67">
      <w:pPr>
        <w:spacing w:line="288" w:lineRule="auto"/>
        <w:contextualSpacing/>
        <w:jc w:val="both"/>
        <w:rPr>
          <w:sz w:val="24"/>
          <w:szCs w:val="24"/>
        </w:rPr>
      </w:pPr>
      <w:r>
        <w:rPr>
          <w:color w:val="231F20"/>
          <w:sz w:val="24"/>
          <w:szCs w:val="24"/>
        </w:rPr>
        <w:t>10.1 O registro do fornecedor será cancelado quando:</w:t>
      </w:r>
    </w:p>
    <w:p w14:paraId="37FBC6F1">
      <w:pPr>
        <w:autoSpaceDE w:val="0"/>
        <w:autoSpaceDN w:val="0"/>
        <w:adjustRightInd w:val="0"/>
        <w:spacing w:line="288" w:lineRule="auto"/>
        <w:contextualSpacing/>
        <w:jc w:val="both"/>
        <w:rPr>
          <w:b/>
          <w:bCs/>
          <w:color w:val="231F20"/>
          <w:sz w:val="24"/>
          <w:szCs w:val="24"/>
        </w:rPr>
      </w:pPr>
    </w:p>
    <w:p w14:paraId="510BD834">
      <w:pPr>
        <w:autoSpaceDE w:val="0"/>
        <w:autoSpaceDN w:val="0"/>
        <w:adjustRightInd w:val="0"/>
        <w:spacing w:line="288" w:lineRule="auto"/>
        <w:contextualSpacing/>
        <w:jc w:val="both"/>
        <w:rPr>
          <w:color w:val="231F20"/>
          <w:sz w:val="24"/>
          <w:szCs w:val="24"/>
        </w:rPr>
      </w:pPr>
      <w:r>
        <w:rPr>
          <w:color w:val="231F20"/>
          <w:sz w:val="24"/>
          <w:szCs w:val="24"/>
        </w:rPr>
        <w:t>a) forem descumpridas as condições da ata de registro de preços, sem motivo justificado;</w:t>
      </w:r>
    </w:p>
    <w:p w14:paraId="4E7215C3">
      <w:pPr>
        <w:autoSpaceDE w:val="0"/>
        <w:autoSpaceDN w:val="0"/>
        <w:adjustRightInd w:val="0"/>
        <w:spacing w:line="288" w:lineRule="auto"/>
        <w:contextualSpacing/>
        <w:jc w:val="both"/>
        <w:rPr>
          <w:color w:val="231F20"/>
          <w:sz w:val="24"/>
          <w:szCs w:val="24"/>
        </w:rPr>
      </w:pPr>
    </w:p>
    <w:p w14:paraId="09B9AFA3">
      <w:pPr>
        <w:autoSpaceDE w:val="0"/>
        <w:autoSpaceDN w:val="0"/>
        <w:adjustRightInd w:val="0"/>
        <w:spacing w:line="288" w:lineRule="auto"/>
        <w:contextualSpacing/>
        <w:jc w:val="both"/>
        <w:rPr>
          <w:color w:val="231F20"/>
          <w:sz w:val="24"/>
          <w:szCs w:val="24"/>
        </w:rPr>
      </w:pPr>
      <w:r>
        <w:rPr>
          <w:color w:val="231F20"/>
          <w:sz w:val="24"/>
          <w:szCs w:val="24"/>
        </w:rPr>
        <w:t xml:space="preserve">b) </w:t>
      </w:r>
      <w:r>
        <w:rPr>
          <w:sz w:val="24"/>
          <w:szCs w:val="24"/>
        </w:rPr>
        <w:t>não assinar o contrato ou não retirar a nota de empenho ou instrumento equivalente no prazo estabelecido pela Administração, sem justificativa aceitável;</w:t>
      </w:r>
    </w:p>
    <w:p w14:paraId="3393B2DE">
      <w:pPr>
        <w:autoSpaceDE w:val="0"/>
        <w:autoSpaceDN w:val="0"/>
        <w:adjustRightInd w:val="0"/>
        <w:spacing w:line="288" w:lineRule="auto"/>
        <w:contextualSpacing/>
        <w:jc w:val="both"/>
        <w:rPr>
          <w:color w:val="231F20"/>
          <w:sz w:val="24"/>
          <w:szCs w:val="24"/>
        </w:rPr>
      </w:pPr>
    </w:p>
    <w:p w14:paraId="4441C065">
      <w:pPr>
        <w:autoSpaceDE w:val="0"/>
        <w:autoSpaceDN w:val="0"/>
        <w:adjustRightInd w:val="0"/>
        <w:spacing w:line="288" w:lineRule="auto"/>
        <w:contextualSpacing/>
        <w:jc w:val="both"/>
        <w:rPr>
          <w:color w:val="231F20"/>
          <w:sz w:val="24"/>
          <w:szCs w:val="24"/>
        </w:rPr>
      </w:pPr>
      <w:r>
        <w:rPr>
          <w:color w:val="231F20"/>
          <w:sz w:val="24"/>
          <w:szCs w:val="24"/>
        </w:rPr>
        <w:t>c) não aceitar reduzir o seu preço registrado, na hipótese deste se tornar superior àqueles praticados no mercado; ou</w:t>
      </w:r>
    </w:p>
    <w:p w14:paraId="297EC30D">
      <w:pPr>
        <w:autoSpaceDE w:val="0"/>
        <w:autoSpaceDN w:val="0"/>
        <w:adjustRightInd w:val="0"/>
        <w:spacing w:line="288" w:lineRule="auto"/>
        <w:contextualSpacing/>
        <w:jc w:val="both"/>
        <w:rPr>
          <w:color w:val="231F20"/>
          <w:sz w:val="24"/>
          <w:szCs w:val="24"/>
        </w:rPr>
      </w:pPr>
    </w:p>
    <w:p w14:paraId="7F0D93D3">
      <w:pPr>
        <w:autoSpaceDE w:val="0"/>
        <w:autoSpaceDN w:val="0"/>
        <w:adjustRightInd w:val="0"/>
        <w:spacing w:line="288" w:lineRule="auto"/>
        <w:contextualSpacing/>
        <w:jc w:val="both"/>
        <w:rPr>
          <w:sz w:val="24"/>
          <w:szCs w:val="24"/>
        </w:rPr>
      </w:pPr>
      <w:r>
        <w:rPr>
          <w:color w:val="231F20"/>
          <w:sz w:val="24"/>
          <w:szCs w:val="24"/>
        </w:rPr>
        <w:t xml:space="preserve">d) </w:t>
      </w:r>
      <w:r>
        <w:rPr>
          <w:sz w:val="24"/>
          <w:szCs w:val="24"/>
        </w:rPr>
        <w:t xml:space="preserve">sofrer sanção prevista nos incisos III ou IV do </w:t>
      </w:r>
      <w:r>
        <w:rPr>
          <w:i/>
          <w:iCs/>
          <w:sz w:val="24"/>
          <w:szCs w:val="24"/>
        </w:rPr>
        <w:t>caput</w:t>
      </w:r>
      <w:r>
        <w:rPr>
          <w:sz w:val="24"/>
          <w:szCs w:val="24"/>
        </w:rPr>
        <w:t xml:space="preserve"> do art. 156 da Lei nº 14.133/2021, observado os parágrafos 4º e 5º do referido dispositivo. </w:t>
      </w:r>
    </w:p>
    <w:p w14:paraId="46ECF825">
      <w:pPr>
        <w:autoSpaceDE w:val="0"/>
        <w:autoSpaceDN w:val="0"/>
        <w:adjustRightInd w:val="0"/>
        <w:spacing w:line="288" w:lineRule="auto"/>
        <w:contextualSpacing/>
        <w:jc w:val="both"/>
        <w:rPr>
          <w:sz w:val="24"/>
          <w:szCs w:val="24"/>
        </w:rPr>
      </w:pPr>
    </w:p>
    <w:p w14:paraId="0BF86BE7">
      <w:pPr>
        <w:autoSpaceDE w:val="0"/>
        <w:autoSpaceDN w:val="0"/>
        <w:adjustRightInd w:val="0"/>
        <w:spacing w:line="288" w:lineRule="auto"/>
        <w:contextualSpacing/>
        <w:jc w:val="both"/>
        <w:rPr>
          <w:sz w:val="24"/>
          <w:szCs w:val="24"/>
        </w:rPr>
      </w:pPr>
      <w:r>
        <w:rPr>
          <w:sz w:val="24"/>
          <w:szCs w:val="24"/>
        </w:rPr>
        <w:t xml:space="preserve">10.2 Na hipótese de que trata a alínea d do item 10.1, caso a penalidade aplicada ao </w:t>
      </w:r>
      <w:r>
        <w:rPr>
          <w:color w:val="231F20"/>
          <w:sz w:val="24"/>
          <w:szCs w:val="24"/>
        </w:rPr>
        <w:t>fornecedor</w:t>
      </w:r>
      <w:r>
        <w:rPr>
          <w:sz w:val="24"/>
          <w:szCs w:val="24"/>
        </w:rPr>
        <w:t xml:space="preserve"> não ultrapasse o prazo de vigência da ata, poderá o gerenciador, desde que não seja o responsável pela aplicação da sanção, mediante decisão fundamentada, garantido o contraditório e a ampla defesa, decidir pela manutenção do registro de preços. </w:t>
      </w:r>
    </w:p>
    <w:p w14:paraId="545022D5">
      <w:pPr>
        <w:autoSpaceDE w:val="0"/>
        <w:autoSpaceDN w:val="0"/>
        <w:adjustRightInd w:val="0"/>
        <w:spacing w:line="288" w:lineRule="auto"/>
        <w:contextualSpacing/>
        <w:jc w:val="both"/>
        <w:rPr>
          <w:sz w:val="24"/>
          <w:szCs w:val="24"/>
        </w:rPr>
      </w:pPr>
    </w:p>
    <w:p w14:paraId="21551BC6">
      <w:pPr>
        <w:autoSpaceDE w:val="0"/>
        <w:autoSpaceDN w:val="0"/>
        <w:adjustRightInd w:val="0"/>
        <w:spacing w:line="288" w:lineRule="auto"/>
        <w:contextualSpacing/>
        <w:jc w:val="both"/>
        <w:rPr>
          <w:b/>
          <w:bCs/>
          <w:color w:val="231F20"/>
          <w:sz w:val="24"/>
          <w:szCs w:val="24"/>
        </w:rPr>
      </w:pPr>
      <w:r>
        <w:rPr>
          <w:sz w:val="24"/>
          <w:szCs w:val="24"/>
        </w:rPr>
        <w:t xml:space="preserve">10.3 O cancelamento do registro nas hipóteses previstas das alíneas a, b e d do item 10.1 será formalizado por decisão do gerenciador, assegurado o contraditório e a ampla defesa ao </w:t>
      </w:r>
      <w:r>
        <w:rPr>
          <w:color w:val="231F20"/>
          <w:sz w:val="24"/>
          <w:szCs w:val="24"/>
        </w:rPr>
        <w:t>fornecedor</w:t>
      </w:r>
      <w:r>
        <w:rPr>
          <w:sz w:val="24"/>
          <w:szCs w:val="24"/>
        </w:rPr>
        <w:t>.</w:t>
      </w:r>
    </w:p>
    <w:p w14:paraId="59173EF7">
      <w:pPr>
        <w:spacing w:line="288" w:lineRule="auto"/>
        <w:contextualSpacing/>
        <w:jc w:val="both"/>
        <w:rPr>
          <w:b/>
          <w:sz w:val="24"/>
          <w:szCs w:val="24"/>
          <w:u w:val="single"/>
        </w:rPr>
      </w:pPr>
    </w:p>
    <w:p w14:paraId="6BD760DF">
      <w:pPr>
        <w:spacing w:line="288" w:lineRule="auto"/>
        <w:contextualSpacing/>
        <w:jc w:val="both"/>
        <w:rPr>
          <w:b/>
          <w:sz w:val="24"/>
          <w:szCs w:val="24"/>
        </w:rPr>
      </w:pPr>
      <w:r>
        <w:rPr>
          <w:b/>
          <w:sz w:val="24"/>
          <w:szCs w:val="24"/>
        </w:rPr>
        <w:t xml:space="preserve">CLÁUSULA DÉCIMA PRIMEIRA: DO CANCELAMENTO DO REGISTRO DE PREÇOS: </w:t>
      </w:r>
    </w:p>
    <w:p w14:paraId="40AC2E5E">
      <w:pPr>
        <w:autoSpaceDE w:val="0"/>
        <w:autoSpaceDN w:val="0"/>
        <w:adjustRightInd w:val="0"/>
        <w:spacing w:line="288" w:lineRule="auto"/>
        <w:contextualSpacing/>
        <w:jc w:val="both"/>
        <w:rPr>
          <w:color w:val="231F20"/>
          <w:sz w:val="24"/>
          <w:szCs w:val="24"/>
        </w:rPr>
      </w:pPr>
    </w:p>
    <w:p w14:paraId="287BA098">
      <w:pPr>
        <w:autoSpaceDE w:val="0"/>
        <w:autoSpaceDN w:val="0"/>
        <w:adjustRightInd w:val="0"/>
        <w:spacing w:line="288" w:lineRule="auto"/>
        <w:contextualSpacing/>
        <w:jc w:val="both"/>
        <w:rPr>
          <w:sz w:val="24"/>
          <w:szCs w:val="24"/>
        </w:rPr>
      </w:pPr>
      <w:r>
        <w:rPr>
          <w:color w:val="231F20"/>
          <w:sz w:val="24"/>
          <w:szCs w:val="24"/>
        </w:rPr>
        <w:t>11.1 O cancelamento do registro de preços poderá ocorrer</w:t>
      </w:r>
      <w:r>
        <w:rPr>
          <w:sz w:val="24"/>
          <w:szCs w:val="24"/>
        </w:rPr>
        <w:t xml:space="preserve">, total ou parcialmente, pelo gerenciador, desde que devidamente comprovados e justificados: </w:t>
      </w:r>
    </w:p>
    <w:p w14:paraId="29CCB5E5">
      <w:pPr>
        <w:autoSpaceDE w:val="0"/>
        <w:autoSpaceDN w:val="0"/>
        <w:adjustRightInd w:val="0"/>
        <w:spacing w:line="288" w:lineRule="auto"/>
        <w:contextualSpacing/>
        <w:jc w:val="both"/>
        <w:rPr>
          <w:sz w:val="24"/>
          <w:szCs w:val="24"/>
        </w:rPr>
      </w:pPr>
    </w:p>
    <w:p w14:paraId="2D6AE164">
      <w:pPr>
        <w:autoSpaceDE w:val="0"/>
        <w:autoSpaceDN w:val="0"/>
        <w:adjustRightInd w:val="0"/>
        <w:spacing w:line="288" w:lineRule="auto"/>
        <w:contextualSpacing/>
        <w:jc w:val="both"/>
        <w:rPr>
          <w:sz w:val="24"/>
          <w:szCs w:val="24"/>
        </w:rPr>
      </w:pPr>
      <w:r>
        <w:rPr>
          <w:sz w:val="24"/>
          <w:szCs w:val="24"/>
        </w:rPr>
        <w:t xml:space="preserve">a)  por razão de interesse público; </w:t>
      </w:r>
    </w:p>
    <w:p w14:paraId="785592F0">
      <w:pPr>
        <w:autoSpaceDE w:val="0"/>
        <w:autoSpaceDN w:val="0"/>
        <w:adjustRightInd w:val="0"/>
        <w:spacing w:line="288" w:lineRule="auto"/>
        <w:contextualSpacing/>
        <w:jc w:val="both"/>
        <w:rPr>
          <w:sz w:val="24"/>
          <w:szCs w:val="24"/>
        </w:rPr>
      </w:pPr>
    </w:p>
    <w:p w14:paraId="05F30AAF">
      <w:pPr>
        <w:autoSpaceDE w:val="0"/>
        <w:autoSpaceDN w:val="0"/>
        <w:adjustRightInd w:val="0"/>
        <w:spacing w:line="288" w:lineRule="auto"/>
        <w:contextualSpacing/>
        <w:jc w:val="both"/>
        <w:rPr>
          <w:sz w:val="24"/>
          <w:szCs w:val="24"/>
        </w:rPr>
      </w:pPr>
      <w:r>
        <w:rPr>
          <w:sz w:val="24"/>
          <w:szCs w:val="24"/>
        </w:rPr>
        <w:t xml:space="preserve">b) pelo cancelamento de todos os preços registrados; ou </w:t>
      </w:r>
    </w:p>
    <w:p w14:paraId="57ED9B0A">
      <w:pPr>
        <w:autoSpaceDE w:val="0"/>
        <w:autoSpaceDN w:val="0"/>
        <w:adjustRightInd w:val="0"/>
        <w:spacing w:line="288" w:lineRule="auto"/>
        <w:contextualSpacing/>
        <w:jc w:val="both"/>
        <w:rPr>
          <w:sz w:val="24"/>
          <w:szCs w:val="24"/>
        </w:rPr>
      </w:pPr>
    </w:p>
    <w:p w14:paraId="5161A2B4">
      <w:pPr>
        <w:autoSpaceDE w:val="0"/>
        <w:autoSpaceDN w:val="0"/>
        <w:adjustRightInd w:val="0"/>
        <w:spacing w:line="288" w:lineRule="auto"/>
        <w:contextualSpacing/>
        <w:jc w:val="both"/>
        <w:rPr>
          <w:sz w:val="24"/>
          <w:szCs w:val="24"/>
        </w:rPr>
      </w:pPr>
      <w:r>
        <w:rPr>
          <w:sz w:val="24"/>
          <w:szCs w:val="24"/>
        </w:rPr>
        <w:t xml:space="preserve">c) a pedido do </w:t>
      </w:r>
      <w:r>
        <w:rPr>
          <w:color w:val="231F20"/>
          <w:sz w:val="24"/>
          <w:szCs w:val="24"/>
        </w:rPr>
        <w:t>fornecedor</w:t>
      </w:r>
      <w:r>
        <w:rPr>
          <w:sz w:val="24"/>
          <w:szCs w:val="24"/>
        </w:rPr>
        <w:t>, decorrente de fato superveniente, de caso fortuito ou força maior, que prejudique o cumprimento da Ata.</w:t>
      </w:r>
    </w:p>
    <w:p w14:paraId="29ABA597">
      <w:pPr>
        <w:spacing w:line="288" w:lineRule="auto"/>
        <w:contextualSpacing/>
        <w:jc w:val="both"/>
        <w:rPr>
          <w:sz w:val="24"/>
          <w:szCs w:val="24"/>
        </w:rPr>
      </w:pPr>
    </w:p>
    <w:p w14:paraId="38FC4F4C">
      <w:pPr>
        <w:spacing w:line="288" w:lineRule="auto"/>
        <w:contextualSpacing/>
        <w:jc w:val="both"/>
        <w:rPr>
          <w:rFonts w:eastAsia="Arial"/>
          <w:b/>
          <w:sz w:val="24"/>
          <w:szCs w:val="24"/>
        </w:rPr>
      </w:pPr>
      <w:r>
        <w:rPr>
          <w:rFonts w:eastAsia="Arial"/>
          <w:b/>
          <w:sz w:val="24"/>
          <w:szCs w:val="24"/>
        </w:rPr>
        <w:t xml:space="preserve">CLÁUSULA DÉCIMA SEGUNDA: DOS CONTRATOS DECORRENTES DA ATA DE REGISTRO DE PREÇOS </w:t>
      </w:r>
    </w:p>
    <w:p w14:paraId="427AEE5A">
      <w:pPr>
        <w:pStyle w:val="99"/>
        <w:numPr>
          <w:ilvl w:val="1"/>
          <w:numId w:val="0"/>
        </w:numPr>
        <w:autoSpaceDE w:val="0"/>
        <w:autoSpaceDN w:val="0"/>
        <w:adjustRightInd w:val="0"/>
        <w:spacing w:before="0" w:line="288" w:lineRule="auto"/>
        <w:contextualSpacing/>
        <w:rPr>
          <w:rFonts w:ascii="Times New Roman" w:hAnsi="Times New Roman" w:cs="Times New Roman"/>
          <w:sz w:val="24"/>
          <w:szCs w:val="24"/>
        </w:rPr>
      </w:pPr>
    </w:p>
    <w:p w14:paraId="0116C113">
      <w:pPr>
        <w:pStyle w:val="99"/>
        <w:numPr>
          <w:ilvl w:val="1"/>
          <w:numId w:val="0"/>
        </w:numPr>
        <w:autoSpaceDE w:val="0"/>
        <w:autoSpaceDN w:val="0"/>
        <w:adjustRightInd w:val="0"/>
        <w:spacing w:before="0" w:after="0" w:line="288" w:lineRule="auto"/>
        <w:contextualSpacing/>
        <w:rPr>
          <w:rFonts w:ascii="Times New Roman" w:hAnsi="Times New Roman" w:cs="Times New Roman"/>
          <w:b/>
          <w:sz w:val="24"/>
          <w:szCs w:val="24"/>
          <w:highlight w:val="yellow"/>
        </w:rPr>
      </w:pPr>
      <w:r>
        <w:rPr>
          <w:rFonts w:ascii="Times New Roman" w:hAnsi="Times New Roman" w:cs="Times New Roman"/>
          <w:sz w:val="24"/>
          <w:szCs w:val="24"/>
        </w:rPr>
        <w:t xml:space="preserve">12.1 As </w:t>
      </w:r>
      <w:bookmarkStart w:id="47" w:name="_Hlk158816472"/>
      <w:r>
        <w:rPr>
          <w:rFonts w:ascii="Times New Roman" w:hAnsi="Times New Roman" w:cs="Times New Roman"/>
          <w:sz w:val="24"/>
          <w:szCs w:val="24"/>
        </w:rPr>
        <w:t xml:space="preserve">condições gerais de execução do objeto, tais como os prazos para entrega e recebimento, as obrigações da Administração e do </w:t>
      </w:r>
      <w:r>
        <w:rPr>
          <w:rFonts w:ascii="Times New Roman" w:hAnsi="Times New Roman" w:cs="Times New Roman"/>
          <w:color w:val="231F20"/>
          <w:sz w:val="24"/>
          <w:szCs w:val="24"/>
        </w:rPr>
        <w:t>fornecedor</w:t>
      </w:r>
      <w:r>
        <w:rPr>
          <w:rFonts w:ascii="Times New Roman" w:hAnsi="Times New Roman" w:cs="Times New Roman"/>
          <w:sz w:val="24"/>
          <w:szCs w:val="24"/>
        </w:rPr>
        <w:t xml:space="preserve"> registrado, penalidades e demais condições do ajuste, inclusive, o prazo de vigência dos contratos a serem celebrados, a garantia, o pagamento, o reajuste ou repactuação, encontram-se definidos no instrumento convocatório, quando houver,</w:t>
      </w:r>
      <w:r>
        <w:rPr>
          <w:rFonts w:ascii="Times New Roman" w:hAnsi="Times New Roman" w:eastAsia="Arial" w:cs="Times New Roman"/>
          <w:sz w:val="24"/>
          <w:szCs w:val="24"/>
        </w:rPr>
        <w:t xml:space="preserve"> </w:t>
      </w:r>
      <w:r>
        <w:rPr>
          <w:rFonts w:ascii="Times New Roman" w:hAnsi="Times New Roman" w:cs="Times New Roman"/>
          <w:color w:val="231F20"/>
          <w:sz w:val="24"/>
          <w:szCs w:val="24"/>
        </w:rPr>
        <w:t>no Termo de Referência e no contrato</w:t>
      </w:r>
      <w:bookmarkEnd w:id="47"/>
      <w:r>
        <w:rPr>
          <w:rFonts w:ascii="Times New Roman" w:hAnsi="Times New Roman" w:cs="Times New Roman"/>
          <w:color w:val="231F20"/>
          <w:sz w:val="24"/>
          <w:szCs w:val="24"/>
        </w:rPr>
        <w:t>.</w:t>
      </w:r>
    </w:p>
    <w:p w14:paraId="60F9A93A">
      <w:pPr>
        <w:tabs>
          <w:tab w:val="left" w:pos="1404"/>
        </w:tabs>
        <w:spacing w:line="288" w:lineRule="auto"/>
        <w:contextualSpacing/>
        <w:jc w:val="both"/>
        <w:rPr>
          <w:rFonts w:eastAsia="Arial"/>
          <w:sz w:val="24"/>
          <w:szCs w:val="24"/>
        </w:rPr>
      </w:pPr>
    </w:p>
    <w:p w14:paraId="64DE002B">
      <w:pPr>
        <w:tabs>
          <w:tab w:val="left" w:pos="1404"/>
        </w:tabs>
        <w:spacing w:line="288" w:lineRule="auto"/>
        <w:contextualSpacing/>
        <w:jc w:val="both"/>
        <w:rPr>
          <w:rFonts w:eastAsia="Arial"/>
          <w:sz w:val="24"/>
          <w:szCs w:val="24"/>
        </w:rPr>
      </w:pPr>
      <w:r>
        <w:rPr>
          <w:rFonts w:eastAsia="Arial"/>
          <w:sz w:val="24"/>
          <w:szCs w:val="24"/>
        </w:rPr>
        <w:t xml:space="preserve">12.1.1 </w:t>
      </w:r>
      <w:r>
        <w:rPr>
          <w:sz w:val="24"/>
          <w:szCs w:val="24"/>
        </w:rPr>
        <w:t>Os contratos decorrentes de registro de preços poderão ser alterados, observado o disposto no art. 124 da Lei nº 14.133/2021.</w:t>
      </w:r>
    </w:p>
    <w:p w14:paraId="33B95EB8">
      <w:pPr>
        <w:tabs>
          <w:tab w:val="left" w:pos="1404"/>
        </w:tabs>
        <w:spacing w:line="288" w:lineRule="auto"/>
        <w:contextualSpacing/>
        <w:jc w:val="both"/>
        <w:rPr>
          <w:rFonts w:eastAsia="Arial"/>
          <w:sz w:val="24"/>
          <w:szCs w:val="24"/>
        </w:rPr>
      </w:pPr>
    </w:p>
    <w:p w14:paraId="69737E4D">
      <w:pPr>
        <w:tabs>
          <w:tab w:val="left" w:pos="1404"/>
        </w:tabs>
        <w:spacing w:line="288" w:lineRule="auto"/>
        <w:contextualSpacing/>
        <w:jc w:val="both"/>
        <w:rPr>
          <w:color w:val="000000" w:themeColor="text1"/>
          <w:sz w:val="24"/>
          <w:szCs w:val="24"/>
          <w14:textFill>
            <w14:solidFill>
              <w14:schemeClr w14:val="tx1"/>
            </w14:solidFill>
          </w14:textFill>
        </w:rPr>
      </w:pPr>
      <w:r>
        <w:rPr>
          <w:rFonts w:eastAsia="Arial"/>
          <w:sz w:val="24"/>
          <w:szCs w:val="24"/>
        </w:rPr>
        <w:t xml:space="preserve">12.2 </w:t>
      </w:r>
      <w:r>
        <w:rPr>
          <w:sz w:val="24"/>
          <w:szCs w:val="24"/>
        </w:rPr>
        <w:t xml:space="preserve">A contratação realizada pelo </w:t>
      </w:r>
      <w:r>
        <w:rPr>
          <w:bCs/>
          <w:sz w:val="24"/>
          <w:szCs w:val="24"/>
        </w:rPr>
        <w:t>gerenciador e pelos participantes</w:t>
      </w:r>
      <w:r>
        <w:rPr>
          <w:b/>
          <w:sz w:val="24"/>
          <w:szCs w:val="24"/>
        </w:rPr>
        <w:t xml:space="preserve"> </w:t>
      </w:r>
      <w:r>
        <w:rPr>
          <w:sz w:val="24"/>
          <w:szCs w:val="24"/>
        </w:rPr>
        <w:t xml:space="preserve">será formalizada, dentro do prazo de validade da Ata de Registro de Preços, por intermédio de </w:t>
      </w:r>
      <w:r>
        <w:rPr>
          <w:color w:val="000000" w:themeColor="text1"/>
          <w:sz w:val="24"/>
          <w:szCs w:val="24"/>
          <w14:textFill>
            <w14:solidFill>
              <w14:schemeClr w14:val="tx1"/>
            </w14:solidFill>
          </w14:textFill>
        </w:rPr>
        <w:t>instrumento contratual A</w:t>
      </w:r>
      <w:r>
        <w:rPr>
          <w:bCs/>
          <w:color w:val="000000" w:themeColor="text1"/>
          <w:sz w:val="24"/>
          <w:szCs w:val="24"/>
          <w14:textFill>
            <w14:solidFill>
              <w14:schemeClr w14:val="tx1"/>
            </w14:solidFill>
          </w14:textFill>
        </w:rPr>
        <w:t>nexo IX do Edital – Minuta de Contrato</w:t>
      </w:r>
      <w:r>
        <w:rPr>
          <w:color w:val="000000" w:themeColor="text1"/>
          <w:sz w:val="24"/>
          <w:szCs w:val="24"/>
          <w14:textFill>
            <w14:solidFill>
              <w14:schemeClr w14:val="tx1"/>
            </w14:solidFill>
          </w14:textFill>
        </w:rPr>
        <w:t>.</w:t>
      </w:r>
    </w:p>
    <w:p w14:paraId="0EC1386D">
      <w:pPr>
        <w:tabs>
          <w:tab w:val="left" w:pos="0"/>
        </w:tabs>
        <w:spacing w:line="360" w:lineRule="auto"/>
        <w:jc w:val="both"/>
        <w:rPr>
          <w:sz w:val="24"/>
          <w:szCs w:val="24"/>
          <w:highlight w:val="yellow"/>
        </w:rPr>
      </w:pPr>
    </w:p>
    <w:p w14:paraId="259E6905">
      <w:pPr>
        <w:spacing w:line="288" w:lineRule="auto"/>
        <w:contextualSpacing/>
        <w:jc w:val="both"/>
        <w:rPr>
          <w:b/>
          <w:bCs/>
          <w:sz w:val="24"/>
          <w:szCs w:val="24"/>
        </w:rPr>
      </w:pPr>
      <w:r>
        <w:rPr>
          <w:b/>
          <w:bCs/>
          <w:sz w:val="24"/>
          <w:szCs w:val="24"/>
        </w:rPr>
        <w:t>CLÁUSULA DÉCIMA TERCEIRA: DAS INFRAÇÕES ADMINISTRATIVAS E SANÇÕES</w:t>
      </w:r>
    </w:p>
    <w:p w14:paraId="492F99DE">
      <w:pPr>
        <w:spacing w:line="288" w:lineRule="auto"/>
        <w:contextualSpacing/>
        <w:jc w:val="both"/>
        <w:rPr>
          <w:sz w:val="24"/>
          <w:szCs w:val="24"/>
        </w:rPr>
      </w:pPr>
    </w:p>
    <w:p w14:paraId="422EA434">
      <w:pPr>
        <w:pStyle w:val="99"/>
        <w:numPr>
          <w:ilvl w:val="1"/>
          <w:numId w:val="0"/>
        </w:numPr>
        <w:autoSpaceDE w:val="0"/>
        <w:autoSpaceDN w:val="0"/>
        <w:adjustRightInd w:val="0"/>
        <w:spacing w:after="0" w:line="288" w:lineRule="auto"/>
        <w:contextualSpacing/>
        <w:rPr>
          <w:rFonts w:ascii="Times New Roman" w:hAnsi="Times New Roman" w:cs="Times New Roman"/>
          <w:sz w:val="24"/>
          <w:szCs w:val="24"/>
        </w:rPr>
      </w:pPr>
      <w:r>
        <w:rPr>
          <w:rFonts w:ascii="Times New Roman" w:hAnsi="Times New Roman" w:cs="Times New Roman"/>
          <w:sz w:val="24"/>
          <w:szCs w:val="24"/>
        </w:rPr>
        <w:t>13.1 O descumprimento da Ata de Registro de Preços ensejará a aplicação das penalidades estabelecidas no instrumento convocatório, quando houver,</w:t>
      </w:r>
      <w:r>
        <w:rPr>
          <w:rFonts w:ascii="Times New Roman" w:hAnsi="Times New Roman" w:eastAsia="Arial" w:cs="Times New Roman"/>
          <w:sz w:val="24"/>
          <w:szCs w:val="24"/>
        </w:rPr>
        <w:t xml:space="preserve"> e no Termo de Referência</w:t>
      </w:r>
      <w:r>
        <w:rPr>
          <w:rFonts w:ascii="Times New Roman" w:hAnsi="Times New Roman" w:cs="Times New Roman"/>
          <w:sz w:val="24"/>
          <w:szCs w:val="24"/>
        </w:rPr>
        <w:t>.</w:t>
      </w:r>
    </w:p>
    <w:p w14:paraId="125E2E78">
      <w:pPr>
        <w:spacing w:line="288" w:lineRule="auto"/>
        <w:contextualSpacing/>
        <w:jc w:val="both"/>
        <w:rPr>
          <w:sz w:val="24"/>
          <w:szCs w:val="24"/>
        </w:rPr>
      </w:pPr>
    </w:p>
    <w:p w14:paraId="42296153">
      <w:pPr>
        <w:spacing w:line="288" w:lineRule="auto"/>
        <w:contextualSpacing/>
        <w:jc w:val="both"/>
        <w:rPr>
          <w:sz w:val="24"/>
          <w:szCs w:val="24"/>
        </w:rPr>
      </w:pPr>
      <w:r>
        <w:rPr>
          <w:sz w:val="24"/>
          <w:szCs w:val="24"/>
        </w:rPr>
        <w:t>13.2 Compete ao gerenciador aplicar, garantida a ampla defesa e o contraditório, as penalidades decorrentes do descumprimento do pactuado na Ata de Registro de Preços ou do descumprimento das obrigações contratuais, em relação às suas próprias contratações, e promover as publicações, encaminhamentos e registros cabíveis.</w:t>
      </w:r>
    </w:p>
    <w:p w14:paraId="48877BAD">
      <w:pPr>
        <w:spacing w:line="288" w:lineRule="auto"/>
        <w:contextualSpacing/>
        <w:jc w:val="both"/>
        <w:rPr>
          <w:sz w:val="24"/>
          <w:szCs w:val="24"/>
        </w:rPr>
      </w:pPr>
    </w:p>
    <w:p w14:paraId="10A0837A">
      <w:pPr>
        <w:spacing w:line="288" w:lineRule="auto"/>
        <w:contextualSpacing/>
        <w:jc w:val="both"/>
        <w:rPr>
          <w:sz w:val="24"/>
          <w:szCs w:val="24"/>
        </w:rPr>
      </w:pPr>
      <w:r>
        <w:rPr>
          <w:sz w:val="24"/>
          <w:szCs w:val="24"/>
        </w:rPr>
        <w:t xml:space="preserve">13.3 Compete aos participantes e aos </w:t>
      </w:r>
      <w:r>
        <w:rPr>
          <w:bCs/>
          <w:color w:val="231F20"/>
          <w:sz w:val="24"/>
          <w:szCs w:val="24"/>
        </w:rPr>
        <w:t xml:space="preserve">não-participantes </w:t>
      </w:r>
      <w:r>
        <w:rPr>
          <w:sz w:val="24"/>
          <w:szCs w:val="24"/>
        </w:rPr>
        <w:t>aplicar, garantida a ampla defesa e o contraditório, as penalidades decorrentes do descumprimento das obrigações contratuais, em relação às suas próprias contratações, e promover as publicações, encaminhamentos e registros cabíveis.</w:t>
      </w:r>
    </w:p>
    <w:p w14:paraId="78E09ACF">
      <w:pPr>
        <w:spacing w:line="288" w:lineRule="auto"/>
        <w:contextualSpacing/>
        <w:jc w:val="both"/>
        <w:rPr>
          <w:sz w:val="24"/>
          <w:szCs w:val="24"/>
        </w:rPr>
      </w:pPr>
    </w:p>
    <w:p w14:paraId="5B9FFFF1">
      <w:pPr>
        <w:spacing w:line="288" w:lineRule="auto"/>
        <w:contextualSpacing/>
        <w:jc w:val="both"/>
        <w:rPr>
          <w:sz w:val="24"/>
          <w:szCs w:val="24"/>
        </w:rPr>
      </w:pPr>
      <w:r>
        <w:rPr>
          <w:sz w:val="24"/>
          <w:szCs w:val="24"/>
        </w:rPr>
        <w:t>13.5 A aplicação das penalidades deverá observar o procedimento estabelecido no instrumento convocatório e contrato, quando houver,</w:t>
      </w:r>
      <w:r>
        <w:rPr>
          <w:rFonts w:eastAsia="Arial"/>
          <w:sz w:val="24"/>
          <w:szCs w:val="24"/>
        </w:rPr>
        <w:t xml:space="preserve"> e no Termo de Referência</w:t>
      </w:r>
      <w:r>
        <w:rPr>
          <w:sz w:val="24"/>
          <w:szCs w:val="24"/>
        </w:rPr>
        <w:t>.</w:t>
      </w:r>
    </w:p>
    <w:p w14:paraId="242AAD6C">
      <w:pPr>
        <w:spacing w:line="288" w:lineRule="auto"/>
        <w:contextualSpacing/>
        <w:jc w:val="both"/>
        <w:rPr>
          <w:sz w:val="24"/>
          <w:szCs w:val="24"/>
        </w:rPr>
      </w:pPr>
    </w:p>
    <w:p w14:paraId="144BDF27">
      <w:pPr>
        <w:spacing w:line="288" w:lineRule="auto"/>
        <w:contextualSpacing/>
        <w:jc w:val="both"/>
        <w:rPr>
          <w:rFonts w:eastAsia="Arial"/>
          <w:b/>
          <w:sz w:val="24"/>
          <w:szCs w:val="24"/>
        </w:rPr>
      </w:pPr>
      <w:r>
        <w:rPr>
          <w:rFonts w:eastAsia="Arial"/>
          <w:b/>
          <w:sz w:val="24"/>
          <w:szCs w:val="24"/>
        </w:rPr>
        <w:t>CLÁUSULA DÉCIMA QUARTA: DOS RECURSOS ORÇAMENTÁRIOS</w:t>
      </w:r>
    </w:p>
    <w:p w14:paraId="3DBCA99E">
      <w:pPr>
        <w:spacing w:line="288" w:lineRule="auto"/>
        <w:contextualSpacing/>
        <w:jc w:val="both"/>
        <w:rPr>
          <w:rFonts w:eastAsia="Arial"/>
          <w:sz w:val="24"/>
          <w:szCs w:val="24"/>
        </w:rPr>
      </w:pPr>
    </w:p>
    <w:p w14:paraId="09C3F30F">
      <w:pPr>
        <w:spacing w:line="288" w:lineRule="auto"/>
        <w:contextualSpacing/>
        <w:jc w:val="both"/>
        <w:rPr>
          <w:bCs/>
          <w:sz w:val="24"/>
          <w:szCs w:val="24"/>
        </w:rPr>
      </w:pPr>
      <w:r>
        <w:rPr>
          <w:rFonts w:eastAsia="Arial"/>
          <w:sz w:val="24"/>
          <w:szCs w:val="24"/>
        </w:rPr>
        <w:t xml:space="preserve">14.1 Os recursos necessários para as contratações decorrentes desta Ata de Registro de Preços correrão por conta da Natureza da Despesa e do Programa de Trabalho próprios do </w:t>
      </w:r>
      <w:r>
        <w:rPr>
          <w:bCs/>
          <w:sz w:val="24"/>
          <w:szCs w:val="24"/>
        </w:rPr>
        <w:t>gerenciador, dos participantes e dos não-participantes.</w:t>
      </w:r>
    </w:p>
    <w:p w14:paraId="3D504610">
      <w:pPr>
        <w:spacing w:line="288" w:lineRule="auto"/>
        <w:contextualSpacing/>
        <w:jc w:val="both"/>
        <w:rPr>
          <w:b/>
          <w:sz w:val="24"/>
          <w:szCs w:val="24"/>
          <w:highlight w:val="yellow"/>
        </w:rPr>
      </w:pPr>
    </w:p>
    <w:p w14:paraId="4B9CB5D1">
      <w:pPr>
        <w:spacing w:line="288" w:lineRule="auto"/>
        <w:contextualSpacing/>
        <w:jc w:val="both"/>
        <w:rPr>
          <w:b/>
          <w:sz w:val="24"/>
          <w:szCs w:val="24"/>
        </w:rPr>
      </w:pPr>
      <w:r>
        <w:rPr>
          <w:b/>
          <w:sz w:val="24"/>
          <w:szCs w:val="24"/>
        </w:rPr>
        <w:t>CLÁUSULA DÉCIMA QUINTA:</w:t>
      </w:r>
      <w:r>
        <w:rPr>
          <w:rFonts w:eastAsia="Arial"/>
          <w:b/>
          <w:sz w:val="24"/>
          <w:szCs w:val="24"/>
        </w:rPr>
        <w:t xml:space="preserve"> </w:t>
      </w:r>
      <w:r>
        <w:rPr>
          <w:b/>
          <w:sz w:val="24"/>
          <w:szCs w:val="24"/>
        </w:rPr>
        <w:t>DO FORO DE ELEIÇÃO</w:t>
      </w:r>
    </w:p>
    <w:p w14:paraId="55F8033E">
      <w:pPr>
        <w:spacing w:line="288" w:lineRule="auto"/>
        <w:contextualSpacing/>
        <w:jc w:val="both"/>
        <w:rPr>
          <w:sz w:val="24"/>
          <w:szCs w:val="24"/>
        </w:rPr>
      </w:pPr>
    </w:p>
    <w:p w14:paraId="26A14614">
      <w:pPr>
        <w:spacing w:line="288" w:lineRule="auto"/>
        <w:contextualSpacing/>
        <w:jc w:val="both"/>
        <w:rPr>
          <w:sz w:val="24"/>
          <w:szCs w:val="24"/>
        </w:rPr>
      </w:pPr>
      <w:r>
        <w:rPr>
          <w:sz w:val="24"/>
          <w:szCs w:val="24"/>
        </w:rPr>
        <w:t xml:space="preserve">15.1 Fica eleito o Foro da Comarca de Valença RJ para dirimir qualquer litígio decorrente da presente Ata de Registro de Preços que não possa ser resolvido por meio amigável, com expressa renúncia a qualquer outro, por mais privilegiado que seja. </w:t>
      </w:r>
    </w:p>
    <w:p w14:paraId="140A3DF7">
      <w:pPr>
        <w:widowControl w:val="0"/>
        <w:autoSpaceDE w:val="0"/>
        <w:autoSpaceDN w:val="0"/>
        <w:adjustRightInd w:val="0"/>
        <w:spacing w:before="120" w:after="120" w:line="288" w:lineRule="auto"/>
        <w:contextualSpacing/>
        <w:jc w:val="both"/>
        <w:rPr>
          <w:sz w:val="24"/>
          <w:szCs w:val="24"/>
        </w:rPr>
      </w:pPr>
    </w:p>
    <w:p w14:paraId="67F7F842">
      <w:pPr>
        <w:widowControl w:val="0"/>
        <w:autoSpaceDE w:val="0"/>
        <w:autoSpaceDN w:val="0"/>
        <w:adjustRightInd w:val="0"/>
        <w:spacing w:before="120" w:after="120" w:line="288" w:lineRule="auto"/>
        <w:contextualSpacing/>
        <w:jc w:val="both"/>
        <w:rPr>
          <w:i/>
          <w:iCs/>
          <w:color w:val="FF0000"/>
          <w:sz w:val="24"/>
          <w:szCs w:val="24"/>
        </w:rPr>
      </w:pPr>
      <w:r>
        <w:rPr>
          <w:sz w:val="24"/>
          <w:szCs w:val="24"/>
        </w:rPr>
        <w:t xml:space="preserve">Para firmeza e validade do pactuado, a presente Ata foi lavrada em 02 (duas) vias de igual teor, que, depois de lida e achada em ordem, vai assinada pelas partes e encaminhada cópia aos demais órgãos participantes. </w:t>
      </w:r>
    </w:p>
    <w:p w14:paraId="2EFBD96A">
      <w:pPr>
        <w:spacing w:line="288" w:lineRule="auto"/>
        <w:contextualSpacing/>
        <w:jc w:val="both"/>
        <w:rPr>
          <w:sz w:val="24"/>
          <w:szCs w:val="24"/>
        </w:rPr>
      </w:pPr>
    </w:p>
    <w:p w14:paraId="0ED07E65">
      <w:pPr>
        <w:spacing w:line="288" w:lineRule="auto"/>
        <w:contextualSpacing/>
        <w:jc w:val="both"/>
        <w:rPr>
          <w:sz w:val="24"/>
          <w:szCs w:val="24"/>
        </w:rPr>
      </w:pPr>
    </w:p>
    <w:p w14:paraId="6F8D95B9">
      <w:pPr>
        <w:pStyle w:val="99"/>
        <w:spacing w:before="0" w:after="0" w:line="288" w:lineRule="auto"/>
        <w:ind w:left="0" w:firstLine="567"/>
        <w:contextualSpacing/>
        <w:jc w:val="cente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Valença, xxx de xxx de 2026.</w:t>
      </w:r>
    </w:p>
    <w:p w14:paraId="25B5BA6B">
      <w:pPr>
        <w:pStyle w:val="99"/>
        <w:spacing w:before="0" w:after="0" w:line="288" w:lineRule="auto"/>
        <w:ind w:left="0" w:firstLine="567"/>
        <w:contextualSpacing/>
        <w:jc w:val="center"/>
        <w:rPr>
          <w:rFonts w:ascii="Times New Roman" w:hAnsi="Times New Roman" w:cs="Times New Roman"/>
          <w:color w:val="FF0000"/>
          <w:sz w:val="24"/>
          <w:szCs w:val="24"/>
        </w:rPr>
      </w:pPr>
    </w:p>
    <w:p w14:paraId="47BD570A">
      <w:pPr>
        <w:pStyle w:val="99"/>
        <w:spacing w:before="0" w:after="0" w:line="288" w:lineRule="auto"/>
        <w:ind w:left="0" w:firstLine="567"/>
        <w:contextualSpacing/>
        <w:jc w:val="center"/>
        <w:rPr>
          <w:rFonts w:ascii="Times New Roman" w:hAnsi="Times New Roman" w:cs="Times New Roman"/>
          <w:color w:val="auto"/>
          <w:sz w:val="24"/>
          <w:szCs w:val="24"/>
        </w:rPr>
      </w:pPr>
    </w:p>
    <w:p w14:paraId="45C0EF01">
      <w:pPr>
        <w:spacing w:line="288" w:lineRule="auto"/>
        <w:ind w:firstLine="567"/>
        <w:contextualSpacing/>
        <w:jc w:val="center"/>
        <w:rPr>
          <w:bCs/>
          <w:sz w:val="24"/>
          <w:szCs w:val="24"/>
        </w:rPr>
      </w:pPr>
      <w:r>
        <w:rPr>
          <w:bCs/>
          <w:sz w:val="24"/>
          <w:szCs w:val="24"/>
        </w:rPr>
        <w:t>_________________________</w:t>
      </w:r>
    </w:p>
    <w:p w14:paraId="159DC113">
      <w:pPr>
        <w:spacing w:line="288" w:lineRule="auto"/>
        <w:ind w:firstLine="567"/>
        <w:contextualSpacing/>
        <w:jc w:val="center"/>
        <w:rPr>
          <w:sz w:val="24"/>
          <w:szCs w:val="24"/>
        </w:rPr>
      </w:pPr>
      <w:r>
        <w:rPr>
          <w:sz w:val="24"/>
          <w:szCs w:val="24"/>
        </w:rPr>
        <w:t>Bernardo Souza Machado</w:t>
      </w:r>
    </w:p>
    <w:p w14:paraId="5363011C">
      <w:pPr>
        <w:spacing w:line="288" w:lineRule="auto"/>
        <w:ind w:firstLine="567"/>
        <w:contextualSpacing/>
        <w:jc w:val="center"/>
        <w:rPr>
          <w:sz w:val="24"/>
          <w:szCs w:val="24"/>
        </w:rPr>
      </w:pPr>
      <w:r>
        <w:rPr>
          <w:sz w:val="24"/>
          <w:szCs w:val="24"/>
        </w:rPr>
        <w:t xml:space="preserve">Secretário Municipal de Assistência, </w:t>
      </w:r>
    </w:p>
    <w:p w14:paraId="6004A2DC">
      <w:pPr>
        <w:spacing w:line="288" w:lineRule="auto"/>
        <w:ind w:firstLine="567"/>
        <w:contextualSpacing/>
        <w:jc w:val="center"/>
        <w:rPr>
          <w:bCs/>
          <w:sz w:val="24"/>
          <w:szCs w:val="24"/>
        </w:rPr>
      </w:pPr>
      <w:r>
        <w:rPr>
          <w:sz w:val="24"/>
          <w:szCs w:val="24"/>
        </w:rPr>
        <w:t>Esporte e Envelhecimento saudável</w:t>
      </w:r>
    </w:p>
    <w:p w14:paraId="2CE8AB2A">
      <w:pPr>
        <w:spacing w:line="288" w:lineRule="auto"/>
        <w:ind w:firstLine="567"/>
        <w:contextualSpacing/>
        <w:jc w:val="center"/>
        <w:rPr>
          <w:bCs/>
          <w:sz w:val="24"/>
          <w:szCs w:val="24"/>
        </w:rPr>
      </w:pPr>
      <w:r>
        <w:rPr>
          <w:bCs/>
          <w:sz w:val="24"/>
          <w:szCs w:val="24"/>
        </w:rPr>
        <w:t>MUNICÍPIO DE VALENÇA</w:t>
      </w:r>
    </w:p>
    <w:p w14:paraId="74FB2A8B">
      <w:pPr>
        <w:spacing w:line="288" w:lineRule="auto"/>
        <w:ind w:firstLine="567"/>
        <w:contextualSpacing/>
        <w:jc w:val="center"/>
        <w:rPr>
          <w:bCs/>
          <w:sz w:val="24"/>
          <w:szCs w:val="24"/>
        </w:rPr>
      </w:pPr>
    </w:p>
    <w:p w14:paraId="629C10DA">
      <w:pPr>
        <w:spacing w:line="288" w:lineRule="auto"/>
        <w:ind w:firstLine="567"/>
        <w:contextualSpacing/>
        <w:jc w:val="center"/>
        <w:rPr>
          <w:sz w:val="24"/>
          <w:szCs w:val="24"/>
        </w:rPr>
      </w:pPr>
      <w:r>
        <w:rPr>
          <w:sz w:val="24"/>
          <w:szCs w:val="24"/>
        </w:rPr>
        <w:t>_________________________</w:t>
      </w:r>
    </w:p>
    <w:p w14:paraId="183F6CDD">
      <w:pPr>
        <w:spacing w:line="288" w:lineRule="auto"/>
        <w:ind w:firstLine="567"/>
        <w:contextualSpacing/>
        <w:jc w:val="center"/>
        <w:rPr>
          <w:sz w:val="24"/>
          <w:szCs w:val="24"/>
        </w:rPr>
      </w:pPr>
      <w:r>
        <w:rPr>
          <w:bCs/>
          <w:sz w:val="24"/>
          <w:szCs w:val="24"/>
        </w:rPr>
        <w:t>Representante</w:t>
      </w:r>
      <w:r>
        <w:rPr>
          <w:sz w:val="24"/>
          <w:szCs w:val="24"/>
        </w:rPr>
        <w:t xml:space="preserve"> legal do CONTRATADO</w:t>
      </w:r>
    </w:p>
    <w:p w14:paraId="544022D1">
      <w:pPr>
        <w:spacing w:line="288" w:lineRule="auto"/>
        <w:contextualSpacing/>
        <w:jc w:val="both"/>
        <w:rPr>
          <w:color w:val="FF0000"/>
          <w:sz w:val="24"/>
          <w:szCs w:val="24"/>
        </w:rPr>
      </w:pPr>
    </w:p>
    <w:p w14:paraId="3B847F2C">
      <w:pPr>
        <w:spacing w:line="288" w:lineRule="auto"/>
        <w:contextualSpacing/>
        <w:jc w:val="both"/>
        <w:rPr>
          <w:sz w:val="24"/>
          <w:szCs w:val="24"/>
        </w:rPr>
      </w:pPr>
      <w:r>
        <w:rPr>
          <w:sz w:val="24"/>
          <w:szCs w:val="24"/>
        </w:rPr>
        <w:t>TESTEMUNHAS:</w:t>
      </w:r>
    </w:p>
    <w:p w14:paraId="650F8D41">
      <w:pPr>
        <w:spacing w:line="288" w:lineRule="auto"/>
        <w:contextualSpacing/>
        <w:rPr>
          <w:sz w:val="24"/>
          <w:szCs w:val="24"/>
        </w:rPr>
      </w:pPr>
      <w:r>
        <w:rPr>
          <w:sz w:val="24"/>
          <w:szCs w:val="24"/>
        </w:rPr>
        <w:t>1-</w:t>
      </w:r>
    </w:p>
    <w:p w14:paraId="20AAE163">
      <w:pPr>
        <w:spacing w:line="288" w:lineRule="auto"/>
        <w:contextualSpacing/>
        <w:rPr>
          <w:sz w:val="24"/>
          <w:szCs w:val="24"/>
        </w:rPr>
      </w:pPr>
      <w:r>
        <w:rPr>
          <w:sz w:val="24"/>
          <w:szCs w:val="24"/>
        </w:rPr>
        <w:t xml:space="preserve">2- </w:t>
      </w:r>
    </w:p>
    <w:p w14:paraId="56956695">
      <w:pPr>
        <w:spacing w:line="360" w:lineRule="auto"/>
        <w:jc w:val="both"/>
        <w:rPr>
          <w:b/>
          <w:sz w:val="24"/>
          <w:szCs w:val="24"/>
        </w:rPr>
      </w:pPr>
    </w:p>
    <w:p w14:paraId="3C8D573E">
      <w:pPr>
        <w:spacing w:line="360" w:lineRule="auto"/>
        <w:jc w:val="both"/>
        <w:rPr>
          <w:b/>
          <w:sz w:val="24"/>
          <w:szCs w:val="24"/>
        </w:rPr>
      </w:pPr>
      <w:r>
        <w:rPr>
          <w:b/>
          <w:sz w:val="24"/>
          <w:szCs w:val="24"/>
        </w:rPr>
        <w:t xml:space="preserve">Anexos: </w:t>
      </w:r>
    </w:p>
    <w:p w14:paraId="1558BBB2">
      <w:pPr>
        <w:spacing w:line="360" w:lineRule="auto"/>
        <w:jc w:val="both"/>
        <w:rPr>
          <w:sz w:val="24"/>
          <w:szCs w:val="24"/>
        </w:rPr>
      </w:pPr>
      <w:r>
        <w:rPr>
          <w:sz w:val="24"/>
          <w:szCs w:val="24"/>
        </w:rPr>
        <w:t>Anexo I – Consolidação das Informações da Ata de Registro de Preços</w:t>
      </w:r>
    </w:p>
    <w:p w14:paraId="08254ACC">
      <w:pPr>
        <w:spacing w:line="360" w:lineRule="auto"/>
        <w:jc w:val="both"/>
        <w:rPr>
          <w:sz w:val="24"/>
          <w:szCs w:val="24"/>
        </w:rPr>
      </w:pPr>
      <w:r>
        <w:rPr>
          <w:sz w:val="24"/>
          <w:szCs w:val="24"/>
        </w:rPr>
        <w:t xml:space="preserve">Anexo II – Cadastro de Reserva </w:t>
      </w:r>
    </w:p>
    <w:p w14:paraId="19B33141">
      <w:pPr>
        <w:spacing w:line="360" w:lineRule="auto"/>
        <w:jc w:val="both"/>
        <w:rPr>
          <w:b/>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Anexo III – Relação de órgãos/entidades participantes</w:t>
      </w:r>
    </w:p>
    <w:p w14:paraId="0A75467C">
      <w:pPr>
        <w:spacing w:line="288" w:lineRule="auto"/>
        <w:contextualSpacing/>
        <w:jc w:val="center"/>
        <w:rPr>
          <w:rFonts w:eastAsia="Calibri"/>
          <w:b/>
          <w:bCs/>
          <w:sz w:val="24"/>
          <w:szCs w:val="24"/>
          <w:lang w:eastAsia="en-US"/>
        </w:rPr>
      </w:pPr>
    </w:p>
    <w:p w14:paraId="501DBB8B">
      <w:pPr>
        <w:jc w:val="center"/>
        <w:rPr>
          <w:b/>
          <w:sz w:val="24"/>
          <w:szCs w:val="24"/>
          <w:u w:val="single"/>
        </w:rPr>
      </w:pPr>
      <w:r>
        <w:rPr>
          <w:b/>
          <w:sz w:val="24"/>
          <w:szCs w:val="24"/>
          <w:u w:val="single"/>
        </w:rPr>
        <w:t>Anexo I – Consolidação das Informações da Ata de Registro de Preços</w:t>
      </w:r>
    </w:p>
    <w:p w14:paraId="1FB09BB0">
      <w:pPr>
        <w:jc w:val="center"/>
        <w:rPr>
          <w:b/>
          <w:sz w:val="24"/>
          <w:szCs w:val="24"/>
          <w:u w:val="single"/>
        </w:rPr>
      </w:pPr>
    </w:p>
    <w:p w14:paraId="555180C2">
      <w:pPr>
        <w:jc w:val="center"/>
        <w:rPr>
          <w:rFonts w:eastAsia="Arial"/>
          <w:b/>
          <w:sz w:val="24"/>
          <w:szCs w:val="24"/>
        </w:rPr>
      </w:pPr>
    </w:p>
    <w:p w14:paraId="32C579CE">
      <w:pPr>
        <w:ind w:hanging="426"/>
        <w:rPr>
          <w:rFonts w:eastAsia="Arial"/>
          <w:b/>
          <w:sz w:val="24"/>
          <w:szCs w:val="24"/>
        </w:rPr>
      </w:pPr>
      <w:r>
        <w:rPr>
          <w:rFonts w:eastAsia="Arial"/>
          <w:b/>
          <w:sz w:val="24"/>
          <w:szCs w:val="24"/>
        </w:rPr>
        <w:t>ATA DE REGISTRO DE PREÇOS nº ___/___</w:t>
      </w:r>
    </w:p>
    <w:p w14:paraId="5CDE99D1">
      <w:pPr>
        <w:ind w:hanging="426"/>
        <w:rPr>
          <w:rFonts w:eastAsia="Arial"/>
          <w:b/>
          <w:sz w:val="24"/>
          <w:szCs w:val="24"/>
        </w:rPr>
      </w:pPr>
      <w:r>
        <w:rPr>
          <w:rFonts w:eastAsia="Arial"/>
          <w:b/>
          <w:sz w:val="24"/>
          <w:szCs w:val="24"/>
        </w:rPr>
        <w:t>ÓRGÃO GERENCIADOR:</w:t>
      </w:r>
    </w:p>
    <w:p w14:paraId="62BFD9CA">
      <w:pPr>
        <w:ind w:hanging="426"/>
        <w:rPr>
          <w:rFonts w:eastAsia="Arial"/>
          <w:b/>
          <w:sz w:val="24"/>
          <w:szCs w:val="24"/>
        </w:rPr>
      </w:pPr>
      <w:r>
        <w:rPr>
          <w:rFonts w:eastAsia="Arial"/>
          <w:b/>
          <w:sz w:val="24"/>
          <w:szCs w:val="24"/>
        </w:rPr>
        <w:t>OBJETO:</w:t>
      </w:r>
    </w:p>
    <w:p w14:paraId="751305AD">
      <w:pPr>
        <w:ind w:hanging="426"/>
        <w:rPr>
          <w:rFonts w:eastAsia="Arial"/>
          <w:b/>
          <w:sz w:val="24"/>
          <w:szCs w:val="24"/>
        </w:rPr>
      </w:pPr>
      <w:r>
        <w:rPr>
          <w:rFonts w:eastAsia="Arial"/>
          <w:b/>
          <w:sz w:val="24"/>
          <w:szCs w:val="24"/>
        </w:rPr>
        <w:t xml:space="preserve">FORNECEDOR: </w:t>
      </w:r>
    </w:p>
    <w:p w14:paraId="75CDC23E">
      <w:pPr>
        <w:ind w:hanging="426"/>
        <w:rPr>
          <w:rFonts w:eastAsia="Arial"/>
          <w:b/>
          <w:sz w:val="24"/>
          <w:szCs w:val="24"/>
        </w:rPr>
      </w:pPr>
    </w:p>
    <w:p w14:paraId="71A1C339">
      <w:pPr>
        <w:jc w:val="center"/>
        <w:rPr>
          <w:rFonts w:eastAsia="Arial"/>
          <w:b/>
          <w:sz w:val="24"/>
          <w:szCs w:val="24"/>
        </w:rPr>
      </w:pPr>
    </w:p>
    <w:tbl>
      <w:tblPr>
        <w:tblStyle w:val="10"/>
        <w:tblW w:w="9639" w:type="dxa"/>
        <w:tblInd w:w="-3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9"/>
        <w:gridCol w:w="851"/>
        <w:gridCol w:w="1135"/>
        <w:gridCol w:w="2126"/>
        <w:gridCol w:w="1701"/>
        <w:gridCol w:w="1560"/>
        <w:gridCol w:w="1417"/>
      </w:tblGrid>
      <w:tr w14:paraId="49A819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0" w:type="dxa"/>
            <w:shd w:val="clear" w:color="auto" w:fill="auto"/>
          </w:tcPr>
          <w:p w14:paraId="65CB67E7">
            <w:pPr>
              <w:jc w:val="center"/>
              <w:rPr>
                <w:rFonts w:eastAsia="Arial"/>
                <w:b/>
                <w:color w:val="FF0000"/>
                <w:sz w:val="24"/>
                <w:szCs w:val="24"/>
              </w:rPr>
            </w:pPr>
          </w:p>
        </w:tc>
        <w:tc>
          <w:tcPr>
            <w:tcW w:w="851" w:type="dxa"/>
            <w:shd w:val="clear" w:color="auto" w:fill="auto"/>
          </w:tcPr>
          <w:p w14:paraId="475DEF0C">
            <w:pPr>
              <w:jc w:val="center"/>
              <w:rPr>
                <w:rFonts w:eastAsia="Arial"/>
                <w:b/>
                <w:sz w:val="24"/>
                <w:szCs w:val="24"/>
              </w:rPr>
            </w:pPr>
            <w:r>
              <w:rPr>
                <w:rFonts w:eastAsia="Arial"/>
                <w:b/>
                <w:sz w:val="24"/>
                <w:szCs w:val="24"/>
              </w:rPr>
              <w:t>ITEM</w:t>
            </w:r>
          </w:p>
          <w:p w14:paraId="79A868F0">
            <w:pPr>
              <w:jc w:val="center"/>
              <w:rPr>
                <w:rFonts w:eastAsia="Arial"/>
                <w:b/>
                <w:sz w:val="24"/>
                <w:szCs w:val="24"/>
              </w:rPr>
            </w:pPr>
          </w:p>
        </w:tc>
        <w:tc>
          <w:tcPr>
            <w:tcW w:w="1134" w:type="dxa"/>
            <w:shd w:val="clear" w:color="auto" w:fill="auto"/>
          </w:tcPr>
          <w:p w14:paraId="4CCEA743">
            <w:pPr>
              <w:jc w:val="center"/>
              <w:rPr>
                <w:rFonts w:eastAsia="Arial"/>
                <w:b/>
                <w:sz w:val="24"/>
                <w:szCs w:val="24"/>
              </w:rPr>
            </w:pPr>
            <w:r>
              <w:rPr>
                <w:rFonts w:eastAsia="Arial"/>
                <w:b/>
                <w:sz w:val="24"/>
                <w:szCs w:val="24"/>
              </w:rPr>
              <w:t>CÓD.</w:t>
            </w:r>
          </w:p>
          <w:p w14:paraId="2EF39AB8">
            <w:pPr>
              <w:jc w:val="center"/>
              <w:rPr>
                <w:rFonts w:eastAsia="Arial"/>
                <w:b/>
                <w:sz w:val="24"/>
                <w:szCs w:val="24"/>
              </w:rPr>
            </w:pPr>
            <w:r>
              <w:rPr>
                <w:rFonts w:eastAsia="Arial"/>
                <w:b/>
                <w:sz w:val="24"/>
                <w:szCs w:val="24"/>
              </w:rPr>
              <w:t>ID SIGA</w:t>
            </w:r>
          </w:p>
        </w:tc>
        <w:tc>
          <w:tcPr>
            <w:tcW w:w="2126" w:type="dxa"/>
            <w:shd w:val="clear" w:color="auto" w:fill="auto"/>
          </w:tcPr>
          <w:p w14:paraId="52835577">
            <w:pPr>
              <w:jc w:val="center"/>
              <w:rPr>
                <w:rFonts w:eastAsia="Arial"/>
                <w:b/>
                <w:sz w:val="24"/>
                <w:szCs w:val="24"/>
              </w:rPr>
            </w:pPr>
            <w:r>
              <w:rPr>
                <w:rFonts w:eastAsia="Arial"/>
                <w:b/>
                <w:sz w:val="24"/>
                <w:szCs w:val="24"/>
              </w:rPr>
              <w:t>DESCRIÇÃO/</w:t>
            </w:r>
          </w:p>
          <w:p w14:paraId="1372A128">
            <w:pPr>
              <w:jc w:val="center"/>
              <w:rPr>
                <w:rFonts w:eastAsia="Arial"/>
                <w:b/>
                <w:sz w:val="24"/>
                <w:szCs w:val="24"/>
              </w:rPr>
            </w:pPr>
            <w:r>
              <w:rPr>
                <w:rFonts w:eastAsia="Arial"/>
                <w:b/>
                <w:sz w:val="24"/>
                <w:szCs w:val="24"/>
              </w:rPr>
              <w:t>ESPECIFICAÇÃO</w:t>
            </w:r>
          </w:p>
        </w:tc>
        <w:tc>
          <w:tcPr>
            <w:tcW w:w="1701" w:type="dxa"/>
            <w:shd w:val="clear" w:color="auto" w:fill="auto"/>
          </w:tcPr>
          <w:p w14:paraId="2F9D36BA">
            <w:pPr>
              <w:spacing w:line="288" w:lineRule="auto"/>
              <w:jc w:val="center"/>
              <w:rPr>
                <w:rFonts w:eastAsia="Arial"/>
                <w:b/>
                <w:sz w:val="24"/>
                <w:szCs w:val="24"/>
              </w:rPr>
            </w:pPr>
            <w:r>
              <w:rPr>
                <w:rFonts w:eastAsia="Arial"/>
                <w:b/>
                <w:sz w:val="24"/>
                <w:szCs w:val="24"/>
              </w:rPr>
              <w:t>QUANTIDADE TOTAL REGISTRADA</w:t>
            </w:r>
          </w:p>
          <w:p w14:paraId="3D494414">
            <w:pPr>
              <w:jc w:val="center"/>
              <w:rPr>
                <w:rFonts w:eastAsia="Arial"/>
                <w:b/>
                <w:sz w:val="24"/>
                <w:szCs w:val="24"/>
              </w:rPr>
            </w:pPr>
          </w:p>
        </w:tc>
        <w:tc>
          <w:tcPr>
            <w:tcW w:w="1560" w:type="dxa"/>
            <w:shd w:val="clear" w:color="auto" w:fill="auto"/>
          </w:tcPr>
          <w:p w14:paraId="3EC58A2F">
            <w:pPr>
              <w:spacing w:line="288" w:lineRule="auto"/>
              <w:jc w:val="center"/>
              <w:rPr>
                <w:rFonts w:eastAsia="Arial"/>
                <w:b/>
                <w:sz w:val="24"/>
                <w:szCs w:val="24"/>
              </w:rPr>
            </w:pPr>
            <w:r>
              <w:rPr>
                <w:rFonts w:eastAsia="Arial"/>
                <w:b/>
                <w:sz w:val="24"/>
                <w:szCs w:val="24"/>
              </w:rPr>
              <w:t>UNIDADE DE MEDIDA</w:t>
            </w:r>
          </w:p>
          <w:p w14:paraId="3B52FB86">
            <w:pPr>
              <w:spacing w:line="288" w:lineRule="auto"/>
              <w:jc w:val="center"/>
              <w:rPr>
                <w:rFonts w:eastAsia="Arial"/>
                <w:b/>
                <w:color w:val="FF0000"/>
                <w:sz w:val="24"/>
                <w:szCs w:val="24"/>
              </w:rPr>
            </w:pPr>
            <w:r>
              <w:rPr>
                <w:rFonts w:eastAsia="Arial"/>
                <w:b/>
                <w:color w:val="FF0000"/>
                <w:sz w:val="24"/>
                <w:szCs w:val="24"/>
              </w:rPr>
              <w:t>(ex.: m</w:t>
            </w:r>
            <w:r>
              <w:rPr>
                <w:rFonts w:eastAsia="Arial"/>
                <w:b/>
                <w:color w:val="FF0000"/>
                <w:sz w:val="24"/>
                <w:szCs w:val="24"/>
                <w:vertAlign w:val="superscript"/>
              </w:rPr>
              <w:t>2</w:t>
            </w:r>
            <w:r>
              <w:rPr>
                <w:rFonts w:eastAsia="Arial"/>
                <w:b/>
                <w:color w:val="FF0000"/>
                <w:sz w:val="24"/>
                <w:szCs w:val="24"/>
              </w:rPr>
              <w:t>, item, litros, kg, pacote etc.)</w:t>
            </w:r>
          </w:p>
          <w:p w14:paraId="79882456">
            <w:pPr>
              <w:jc w:val="center"/>
              <w:rPr>
                <w:rFonts w:eastAsia="Arial"/>
                <w:b/>
                <w:sz w:val="24"/>
                <w:szCs w:val="24"/>
              </w:rPr>
            </w:pPr>
          </w:p>
        </w:tc>
        <w:tc>
          <w:tcPr>
            <w:tcW w:w="1417" w:type="dxa"/>
            <w:shd w:val="clear" w:color="auto" w:fill="auto"/>
          </w:tcPr>
          <w:p w14:paraId="76E6DD37">
            <w:pPr>
              <w:spacing w:line="288" w:lineRule="auto"/>
              <w:jc w:val="center"/>
              <w:rPr>
                <w:rFonts w:eastAsia="Arial"/>
                <w:b/>
                <w:sz w:val="24"/>
                <w:szCs w:val="24"/>
              </w:rPr>
            </w:pPr>
            <w:r>
              <w:rPr>
                <w:rFonts w:eastAsia="Arial"/>
                <w:b/>
                <w:sz w:val="24"/>
                <w:szCs w:val="24"/>
              </w:rPr>
              <w:t>PREÇO UNITÁRIO</w:t>
            </w:r>
          </w:p>
          <w:p w14:paraId="11C18F6E">
            <w:pPr>
              <w:jc w:val="center"/>
              <w:rPr>
                <w:rFonts w:eastAsia="Arial"/>
                <w:b/>
                <w:sz w:val="24"/>
                <w:szCs w:val="24"/>
              </w:rPr>
            </w:pPr>
          </w:p>
        </w:tc>
      </w:tr>
      <w:tr w14:paraId="6BF50F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0" w:type="dxa"/>
            <w:shd w:val="clear" w:color="auto" w:fill="auto"/>
          </w:tcPr>
          <w:p w14:paraId="50EAC39E">
            <w:pPr>
              <w:jc w:val="center"/>
              <w:rPr>
                <w:rFonts w:eastAsia="Arial"/>
                <w:b/>
                <w:sz w:val="24"/>
                <w:szCs w:val="24"/>
              </w:rPr>
            </w:pPr>
          </w:p>
        </w:tc>
        <w:tc>
          <w:tcPr>
            <w:tcW w:w="851" w:type="dxa"/>
            <w:shd w:val="clear" w:color="auto" w:fill="auto"/>
          </w:tcPr>
          <w:p w14:paraId="595F77B6">
            <w:pPr>
              <w:jc w:val="center"/>
              <w:rPr>
                <w:rFonts w:eastAsia="Arial"/>
                <w:b/>
                <w:sz w:val="24"/>
                <w:szCs w:val="24"/>
              </w:rPr>
            </w:pPr>
          </w:p>
        </w:tc>
        <w:tc>
          <w:tcPr>
            <w:tcW w:w="1135" w:type="dxa"/>
            <w:shd w:val="clear" w:color="auto" w:fill="auto"/>
          </w:tcPr>
          <w:p w14:paraId="3E806FDD">
            <w:pPr>
              <w:jc w:val="center"/>
              <w:rPr>
                <w:rFonts w:eastAsia="Arial"/>
                <w:b/>
                <w:sz w:val="24"/>
                <w:szCs w:val="24"/>
              </w:rPr>
            </w:pPr>
          </w:p>
        </w:tc>
        <w:tc>
          <w:tcPr>
            <w:tcW w:w="2125" w:type="dxa"/>
            <w:shd w:val="clear" w:color="auto" w:fill="auto"/>
          </w:tcPr>
          <w:p w14:paraId="60503698">
            <w:pPr>
              <w:jc w:val="center"/>
              <w:rPr>
                <w:rFonts w:eastAsia="Arial"/>
                <w:b/>
                <w:sz w:val="24"/>
                <w:szCs w:val="24"/>
              </w:rPr>
            </w:pPr>
          </w:p>
        </w:tc>
        <w:tc>
          <w:tcPr>
            <w:tcW w:w="1701" w:type="dxa"/>
            <w:shd w:val="clear" w:color="auto" w:fill="auto"/>
          </w:tcPr>
          <w:p w14:paraId="004B3FBD">
            <w:pPr>
              <w:spacing w:line="288" w:lineRule="auto"/>
              <w:jc w:val="center"/>
              <w:rPr>
                <w:rFonts w:eastAsia="Arial"/>
                <w:b/>
                <w:sz w:val="24"/>
                <w:szCs w:val="24"/>
              </w:rPr>
            </w:pPr>
          </w:p>
        </w:tc>
        <w:tc>
          <w:tcPr>
            <w:tcW w:w="1560" w:type="dxa"/>
            <w:shd w:val="clear" w:color="auto" w:fill="auto"/>
          </w:tcPr>
          <w:p w14:paraId="61D8D2F5">
            <w:pPr>
              <w:spacing w:line="288" w:lineRule="auto"/>
              <w:jc w:val="center"/>
              <w:rPr>
                <w:rFonts w:eastAsia="Arial"/>
                <w:b/>
                <w:sz w:val="24"/>
                <w:szCs w:val="24"/>
              </w:rPr>
            </w:pPr>
          </w:p>
        </w:tc>
        <w:tc>
          <w:tcPr>
            <w:tcW w:w="1417" w:type="dxa"/>
            <w:shd w:val="clear" w:color="auto" w:fill="auto"/>
          </w:tcPr>
          <w:p w14:paraId="5621DBAB">
            <w:pPr>
              <w:spacing w:line="288" w:lineRule="auto"/>
              <w:jc w:val="center"/>
              <w:rPr>
                <w:rFonts w:eastAsia="Arial"/>
                <w:b/>
                <w:sz w:val="24"/>
                <w:szCs w:val="24"/>
              </w:rPr>
            </w:pPr>
          </w:p>
        </w:tc>
      </w:tr>
      <w:tr w14:paraId="47FF72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0" w:type="dxa"/>
            <w:shd w:val="clear" w:color="auto" w:fill="auto"/>
          </w:tcPr>
          <w:p w14:paraId="33514C6F">
            <w:pPr>
              <w:jc w:val="center"/>
              <w:rPr>
                <w:rFonts w:eastAsia="Arial"/>
                <w:b/>
                <w:sz w:val="24"/>
                <w:szCs w:val="24"/>
              </w:rPr>
            </w:pPr>
          </w:p>
        </w:tc>
        <w:tc>
          <w:tcPr>
            <w:tcW w:w="851" w:type="dxa"/>
            <w:shd w:val="clear" w:color="auto" w:fill="auto"/>
          </w:tcPr>
          <w:p w14:paraId="50EE1F0E">
            <w:pPr>
              <w:jc w:val="center"/>
              <w:rPr>
                <w:rFonts w:eastAsia="Arial"/>
                <w:b/>
                <w:sz w:val="24"/>
                <w:szCs w:val="24"/>
              </w:rPr>
            </w:pPr>
          </w:p>
        </w:tc>
        <w:tc>
          <w:tcPr>
            <w:tcW w:w="1135" w:type="dxa"/>
            <w:shd w:val="clear" w:color="auto" w:fill="auto"/>
          </w:tcPr>
          <w:p w14:paraId="5A2A4908">
            <w:pPr>
              <w:jc w:val="center"/>
              <w:rPr>
                <w:rFonts w:eastAsia="Arial"/>
                <w:b/>
                <w:sz w:val="24"/>
                <w:szCs w:val="24"/>
              </w:rPr>
            </w:pPr>
          </w:p>
        </w:tc>
        <w:tc>
          <w:tcPr>
            <w:tcW w:w="2125" w:type="dxa"/>
            <w:shd w:val="clear" w:color="auto" w:fill="auto"/>
          </w:tcPr>
          <w:p w14:paraId="234095CB">
            <w:pPr>
              <w:jc w:val="center"/>
              <w:rPr>
                <w:rFonts w:eastAsia="Arial"/>
                <w:b/>
                <w:sz w:val="24"/>
                <w:szCs w:val="24"/>
              </w:rPr>
            </w:pPr>
          </w:p>
        </w:tc>
        <w:tc>
          <w:tcPr>
            <w:tcW w:w="1701" w:type="dxa"/>
            <w:shd w:val="clear" w:color="auto" w:fill="auto"/>
          </w:tcPr>
          <w:p w14:paraId="7FBF5712">
            <w:pPr>
              <w:spacing w:line="288" w:lineRule="auto"/>
              <w:jc w:val="center"/>
              <w:rPr>
                <w:rFonts w:eastAsia="Arial"/>
                <w:b/>
                <w:sz w:val="24"/>
                <w:szCs w:val="24"/>
              </w:rPr>
            </w:pPr>
          </w:p>
        </w:tc>
        <w:tc>
          <w:tcPr>
            <w:tcW w:w="1560" w:type="dxa"/>
            <w:shd w:val="clear" w:color="auto" w:fill="auto"/>
          </w:tcPr>
          <w:p w14:paraId="6A7C54EF">
            <w:pPr>
              <w:spacing w:line="288" w:lineRule="auto"/>
              <w:jc w:val="center"/>
              <w:rPr>
                <w:rFonts w:eastAsia="Arial"/>
                <w:b/>
                <w:sz w:val="24"/>
                <w:szCs w:val="24"/>
              </w:rPr>
            </w:pPr>
          </w:p>
        </w:tc>
        <w:tc>
          <w:tcPr>
            <w:tcW w:w="1417" w:type="dxa"/>
            <w:shd w:val="clear" w:color="auto" w:fill="auto"/>
          </w:tcPr>
          <w:p w14:paraId="3ED3375B">
            <w:pPr>
              <w:spacing w:line="288" w:lineRule="auto"/>
              <w:jc w:val="center"/>
              <w:rPr>
                <w:rFonts w:eastAsia="Arial"/>
                <w:b/>
                <w:sz w:val="24"/>
                <w:szCs w:val="24"/>
              </w:rPr>
            </w:pPr>
          </w:p>
        </w:tc>
      </w:tr>
      <w:tr w14:paraId="6344DC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0" w:type="dxa"/>
            <w:shd w:val="clear" w:color="auto" w:fill="auto"/>
          </w:tcPr>
          <w:p w14:paraId="2DD5ADAB">
            <w:pPr>
              <w:jc w:val="center"/>
              <w:rPr>
                <w:rFonts w:eastAsia="Arial"/>
                <w:b/>
                <w:sz w:val="24"/>
                <w:szCs w:val="24"/>
              </w:rPr>
            </w:pPr>
          </w:p>
        </w:tc>
        <w:tc>
          <w:tcPr>
            <w:tcW w:w="851" w:type="dxa"/>
            <w:shd w:val="clear" w:color="auto" w:fill="auto"/>
          </w:tcPr>
          <w:p w14:paraId="79744C70">
            <w:pPr>
              <w:jc w:val="center"/>
              <w:rPr>
                <w:rFonts w:eastAsia="Arial"/>
                <w:b/>
                <w:sz w:val="24"/>
                <w:szCs w:val="24"/>
              </w:rPr>
            </w:pPr>
          </w:p>
        </w:tc>
        <w:tc>
          <w:tcPr>
            <w:tcW w:w="1135" w:type="dxa"/>
            <w:shd w:val="clear" w:color="auto" w:fill="auto"/>
          </w:tcPr>
          <w:p w14:paraId="7DA56449">
            <w:pPr>
              <w:jc w:val="center"/>
              <w:rPr>
                <w:rFonts w:eastAsia="Arial"/>
                <w:b/>
                <w:sz w:val="24"/>
                <w:szCs w:val="24"/>
              </w:rPr>
            </w:pPr>
          </w:p>
        </w:tc>
        <w:tc>
          <w:tcPr>
            <w:tcW w:w="2125" w:type="dxa"/>
            <w:shd w:val="clear" w:color="auto" w:fill="auto"/>
          </w:tcPr>
          <w:p w14:paraId="4D05519C">
            <w:pPr>
              <w:jc w:val="center"/>
              <w:rPr>
                <w:rFonts w:eastAsia="Arial"/>
                <w:b/>
                <w:sz w:val="24"/>
                <w:szCs w:val="24"/>
              </w:rPr>
            </w:pPr>
          </w:p>
        </w:tc>
        <w:tc>
          <w:tcPr>
            <w:tcW w:w="1701" w:type="dxa"/>
            <w:shd w:val="clear" w:color="auto" w:fill="auto"/>
          </w:tcPr>
          <w:p w14:paraId="6018A8B5">
            <w:pPr>
              <w:spacing w:line="288" w:lineRule="auto"/>
              <w:jc w:val="center"/>
              <w:rPr>
                <w:rFonts w:eastAsia="Arial"/>
                <w:b/>
                <w:sz w:val="24"/>
                <w:szCs w:val="24"/>
              </w:rPr>
            </w:pPr>
          </w:p>
        </w:tc>
        <w:tc>
          <w:tcPr>
            <w:tcW w:w="1560" w:type="dxa"/>
            <w:shd w:val="clear" w:color="auto" w:fill="auto"/>
          </w:tcPr>
          <w:p w14:paraId="2D0D1C32">
            <w:pPr>
              <w:spacing w:line="288" w:lineRule="auto"/>
              <w:jc w:val="center"/>
              <w:rPr>
                <w:rFonts w:eastAsia="Arial"/>
                <w:b/>
                <w:sz w:val="24"/>
                <w:szCs w:val="24"/>
              </w:rPr>
            </w:pPr>
          </w:p>
        </w:tc>
        <w:tc>
          <w:tcPr>
            <w:tcW w:w="1417" w:type="dxa"/>
            <w:shd w:val="clear" w:color="auto" w:fill="auto"/>
          </w:tcPr>
          <w:p w14:paraId="6AFF67FA">
            <w:pPr>
              <w:spacing w:line="288" w:lineRule="auto"/>
              <w:jc w:val="center"/>
              <w:rPr>
                <w:rFonts w:eastAsia="Arial"/>
                <w:b/>
                <w:sz w:val="24"/>
                <w:szCs w:val="24"/>
              </w:rPr>
            </w:pPr>
          </w:p>
        </w:tc>
      </w:tr>
    </w:tbl>
    <w:p w14:paraId="63C83B8D">
      <w:pPr>
        <w:jc w:val="center"/>
        <w:rPr>
          <w:b/>
          <w:sz w:val="24"/>
          <w:szCs w:val="24"/>
          <w:u w:val="single"/>
        </w:rPr>
      </w:pPr>
    </w:p>
    <w:p w14:paraId="13A16BCA">
      <w:pPr>
        <w:jc w:val="center"/>
        <w:rPr>
          <w:b/>
          <w:sz w:val="24"/>
          <w:szCs w:val="24"/>
          <w:u w:val="single"/>
        </w:rPr>
      </w:pPr>
    </w:p>
    <w:p w14:paraId="32B0D683">
      <w:pPr>
        <w:jc w:val="center"/>
        <w:rPr>
          <w:b/>
          <w:sz w:val="24"/>
          <w:szCs w:val="24"/>
          <w:u w:val="single"/>
        </w:rPr>
      </w:pPr>
    </w:p>
    <w:p w14:paraId="452226EC">
      <w:pPr>
        <w:jc w:val="center"/>
        <w:rPr>
          <w:b/>
          <w:sz w:val="24"/>
          <w:szCs w:val="24"/>
          <w:u w:val="single"/>
        </w:rPr>
      </w:pPr>
    </w:p>
    <w:p w14:paraId="4A3C0293">
      <w:pPr>
        <w:jc w:val="center"/>
        <w:rPr>
          <w:b/>
          <w:sz w:val="24"/>
          <w:szCs w:val="24"/>
          <w:u w:val="single"/>
        </w:rPr>
      </w:pPr>
      <w:r>
        <w:rPr>
          <w:b/>
          <w:sz w:val="24"/>
          <w:szCs w:val="24"/>
          <w:u w:val="single"/>
        </w:rPr>
        <w:t>Anexo II – Cadastro de Reserva</w:t>
      </w:r>
    </w:p>
    <w:p w14:paraId="7B3BAF3E">
      <w:pPr>
        <w:rPr>
          <w:rFonts w:eastAsia="Arial"/>
          <w:b/>
          <w:sz w:val="24"/>
          <w:szCs w:val="24"/>
        </w:rPr>
      </w:pPr>
    </w:p>
    <w:p w14:paraId="3BBEE8AA">
      <w:pPr>
        <w:rPr>
          <w:rFonts w:eastAsia="Arial"/>
          <w:b/>
          <w:sz w:val="24"/>
          <w:szCs w:val="24"/>
        </w:rPr>
      </w:pPr>
      <w:r>
        <w:rPr>
          <w:rFonts w:eastAsia="Arial"/>
          <w:b/>
          <w:sz w:val="24"/>
          <w:szCs w:val="24"/>
        </w:rPr>
        <w:t>ATA DE REGISTRO DE PREÇOS nº ___/202</w:t>
      </w:r>
      <w:r>
        <w:rPr>
          <w:rFonts w:eastAsia="Arial"/>
          <w:b/>
          <w:color w:val="FF0000"/>
          <w:sz w:val="24"/>
          <w:szCs w:val="24"/>
        </w:rPr>
        <w:t>...._</w:t>
      </w:r>
      <w:r>
        <w:rPr>
          <w:rFonts w:eastAsia="Arial"/>
          <w:b/>
          <w:sz w:val="24"/>
          <w:szCs w:val="24"/>
        </w:rPr>
        <w:t>__</w:t>
      </w:r>
    </w:p>
    <w:p w14:paraId="25F0A770">
      <w:pPr>
        <w:rPr>
          <w:rFonts w:eastAsia="Arial"/>
          <w:b/>
          <w:sz w:val="24"/>
          <w:szCs w:val="24"/>
        </w:rPr>
      </w:pPr>
      <w:r>
        <w:rPr>
          <w:rFonts w:eastAsia="Arial"/>
          <w:b/>
          <w:sz w:val="24"/>
          <w:szCs w:val="24"/>
        </w:rPr>
        <w:t>ÓRGÃO GERENCIADOR:</w:t>
      </w:r>
    </w:p>
    <w:p w14:paraId="1C5439D3">
      <w:pPr>
        <w:rPr>
          <w:rFonts w:eastAsia="Arial"/>
          <w:b/>
          <w:sz w:val="24"/>
          <w:szCs w:val="24"/>
        </w:rPr>
      </w:pPr>
      <w:r>
        <w:rPr>
          <w:rFonts w:eastAsia="Arial"/>
          <w:b/>
          <w:sz w:val="24"/>
          <w:szCs w:val="24"/>
        </w:rPr>
        <w:t>OBJETO:</w:t>
      </w:r>
    </w:p>
    <w:p w14:paraId="663B07BA">
      <w:pPr>
        <w:rPr>
          <w:rFonts w:eastAsia="Arial"/>
          <w:b/>
          <w:sz w:val="24"/>
          <w:szCs w:val="24"/>
        </w:rPr>
      </w:pPr>
    </w:p>
    <w:p w14:paraId="01A44DA1">
      <w:pPr>
        <w:jc w:val="both"/>
        <w:rPr>
          <w:rFonts w:eastAsia="Arial"/>
          <w:b/>
          <w:sz w:val="24"/>
          <w:szCs w:val="24"/>
        </w:rPr>
      </w:pPr>
      <w:r>
        <w:rPr>
          <w:rFonts w:eastAsia="Arial"/>
          <w:b/>
          <w:sz w:val="24"/>
          <w:szCs w:val="24"/>
        </w:rPr>
        <w:t xml:space="preserve">FORNECEDOR nº1 DO CADASTRO DE RESERVA: </w:t>
      </w:r>
      <w:r>
        <w:rPr>
          <w:sz w:val="24"/>
          <w:szCs w:val="24"/>
        </w:rPr>
        <w:t xml:space="preserve">empresa </w:t>
      </w:r>
      <w:r>
        <w:rPr>
          <w:color w:val="FF0000"/>
          <w:sz w:val="24"/>
          <w:szCs w:val="24"/>
        </w:rPr>
        <w:t>.............</w:t>
      </w:r>
      <w:r>
        <w:rPr>
          <w:sz w:val="24"/>
          <w:szCs w:val="24"/>
        </w:rPr>
        <w:t xml:space="preserve">, situada na Rua </w:t>
      </w:r>
      <w:r>
        <w:rPr>
          <w:color w:val="FF0000"/>
          <w:sz w:val="24"/>
          <w:szCs w:val="24"/>
        </w:rPr>
        <w:t>.............</w:t>
      </w:r>
      <w:r>
        <w:rPr>
          <w:sz w:val="24"/>
          <w:szCs w:val="24"/>
        </w:rPr>
        <w:t xml:space="preserve">, Bairro </w:t>
      </w:r>
      <w:r>
        <w:rPr>
          <w:color w:val="FF0000"/>
          <w:sz w:val="24"/>
          <w:szCs w:val="24"/>
        </w:rPr>
        <w:t>.............</w:t>
      </w:r>
      <w:r>
        <w:rPr>
          <w:sz w:val="24"/>
          <w:szCs w:val="24"/>
        </w:rPr>
        <w:t xml:space="preserve">, Cidade </w:t>
      </w:r>
      <w:r>
        <w:rPr>
          <w:color w:val="FF0000"/>
          <w:sz w:val="24"/>
          <w:szCs w:val="24"/>
        </w:rPr>
        <w:t>.............</w:t>
      </w:r>
      <w:r>
        <w:rPr>
          <w:sz w:val="24"/>
          <w:szCs w:val="24"/>
        </w:rPr>
        <w:t xml:space="preserve"> e inscrita no CNPJ/MF sob o nº </w:t>
      </w:r>
      <w:r>
        <w:rPr>
          <w:color w:val="FF0000"/>
          <w:sz w:val="24"/>
          <w:szCs w:val="24"/>
        </w:rPr>
        <w:t>.............</w:t>
      </w:r>
      <w:r>
        <w:rPr>
          <w:sz w:val="24"/>
          <w:szCs w:val="24"/>
        </w:rPr>
        <w:t xml:space="preserve">, representada neste ato por </w:t>
      </w:r>
      <w:r>
        <w:rPr>
          <w:color w:val="FF0000"/>
          <w:sz w:val="24"/>
          <w:szCs w:val="24"/>
        </w:rPr>
        <w:t>.............</w:t>
      </w:r>
      <w:r>
        <w:rPr>
          <w:sz w:val="24"/>
          <w:szCs w:val="24"/>
        </w:rPr>
        <w:t xml:space="preserve">, cédula de identidade nº </w:t>
      </w:r>
      <w:r>
        <w:rPr>
          <w:color w:val="FF0000"/>
          <w:sz w:val="24"/>
          <w:szCs w:val="24"/>
        </w:rPr>
        <w:t>.............</w:t>
      </w:r>
      <w:r>
        <w:rPr>
          <w:sz w:val="24"/>
          <w:szCs w:val="24"/>
        </w:rPr>
        <w:t xml:space="preserve">,  domiciliada na Rua </w:t>
      </w:r>
      <w:r>
        <w:rPr>
          <w:color w:val="FF0000"/>
          <w:sz w:val="24"/>
          <w:szCs w:val="24"/>
        </w:rPr>
        <w:t>.............</w:t>
      </w:r>
      <w:r>
        <w:rPr>
          <w:color w:val="000000"/>
          <w:sz w:val="24"/>
          <w:szCs w:val="24"/>
        </w:rPr>
        <w:t xml:space="preserve">, Cidade </w:t>
      </w:r>
      <w:r>
        <w:rPr>
          <w:color w:val="FF0000"/>
          <w:sz w:val="24"/>
          <w:szCs w:val="24"/>
        </w:rPr>
        <w:t>.............</w:t>
      </w:r>
      <w:r>
        <w:rPr>
          <w:color w:val="000000"/>
          <w:sz w:val="24"/>
          <w:szCs w:val="24"/>
        </w:rPr>
        <w:t xml:space="preserve">; </w:t>
      </w:r>
    </w:p>
    <w:p w14:paraId="1742D1E9">
      <w:pPr>
        <w:rPr>
          <w:rFonts w:eastAsia="Arial"/>
          <w:b/>
          <w:sz w:val="24"/>
          <w:szCs w:val="24"/>
        </w:rPr>
      </w:pPr>
    </w:p>
    <w:p w14:paraId="797BA8DD">
      <w:pPr>
        <w:rPr>
          <w:rFonts w:eastAsia="Arial"/>
          <w:b/>
          <w:sz w:val="24"/>
          <w:szCs w:val="24"/>
        </w:rPr>
      </w:pPr>
    </w:p>
    <w:p w14:paraId="180A2E18">
      <w:pPr>
        <w:jc w:val="both"/>
        <w:rPr>
          <w:rFonts w:eastAsia="Arial"/>
          <w:b/>
          <w:sz w:val="24"/>
          <w:szCs w:val="24"/>
        </w:rPr>
      </w:pPr>
      <w:r>
        <w:rPr>
          <w:rFonts w:eastAsia="Arial"/>
          <w:b/>
          <w:sz w:val="24"/>
          <w:szCs w:val="24"/>
        </w:rPr>
        <w:t xml:space="preserve">FORNECEDOR nº2 DO CADASTRO DE RESERVA: </w:t>
      </w:r>
      <w:r>
        <w:rPr>
          <w:sz w:val="24"/>
          <w:szCs w:val="24"/>
        </w:rPr>
        <w:t xml:space="preserve">empresa </w:t>
      </w:r>
      <w:r>
        <w:rPr>
          <w:color w:val="FF0000"/>
          <w:sz w:val="24"/>
          <w:szCs w:val="24"/>
        </w:rPr>
        <w:t>.............</w:t>
      </w:r>
      <w:r>
        <w:rPr>
          <w:sz w:val="24"/>
          <w:szCs w:val="24"/>
        </w:rPr>
        <w:t xml:space="preserve">, situada na Rua </w:t>
      </w:r>
      <w:r>
        <w:rPr>
          <w:color w:val="FF0000"/>
          <w:sz w:val="24"/>
          <w:szCs w:val="24"/>
        </w:rPr>
        <w:t>.............</w:t>
      </w:r>
      <w:r>
        <w:rPr>
          <w:sz w:val="24"/>
          <w:szCs w:val="24"/>
        </w:rPr>
        <w:t xml:space="preserve">, Bairro </w:t>
      </w:r>
      <w:r>
        <w:rPr>
          <w:color w:val="FF0000"/>
          <w:sz w:val="24"/>
          <w:szCs w:val="24"/>
        </w:rPr>
        <w:t>.............</w:t>
      </w:r>
      <w:r>
        <w:rPr>
          <w:sz w:val="24"/>
          <w:szCs w:val="24"/>
        </w:rPr>
        <w:t xml:space="preserve">, Cidade </w:t>
      </w:r>
      <w:r>
        <w:rPr>
          <w:color w:val="FF0000"/>
          <w:sz w:val="24"/>
          <w:szCs w:val="24"/>
        </w:rPr>
        <w:t>.............</w:t>
      </w:r>
      <w:r>
        <w:rPr>
          <w:sz w:val="24"/>
          <w:szCs w:val="24"/>
        </w:rPr>
        <w:t xml:space="preserve"> e inscrita no CNPJ/MF sob o nº </w:t>
      </w:r>
      <w:r>
        <w:rPr>
          <w:color w:val="FF0000"/>
          <w:sz w:val="24"/>
          <w:szCs w:val="24"/>
        </w:rPr>
        <w:t>.............</w:t>
      </w:r>
      <w:r>
        <w:rPr>
          <w:sz w:val="24"/>
          <w:szCs w:val="24"/>
        </w:rPr>
        <w:t xml:space="preserve">, representada neste ato por </w:t>
      </w:r>
      <w:r>
        <w:rPr>
          <w:color w:val="FF0000"/>
          <w:sz w:val="24"/>
          <w:szCs w:val="24"/>
        </w:rPr>
        <w:t>.............</w:t>
      </w:r>
      <w:r>
        <w:rPr>
          <w:sz w:val="24"/>
          <w:szCs w:val="24"/>
        </w:rPr>
        <w:t xml:space="preserve">, cédula de identidade nº </w:t>
      </w:r>
      <w:r>
        <w:rPr>
          <w:color w:val="FF0000"/>
          <w:sz w:val="24"/>
          <w:szCs w:val="24"/>
        </w:rPr>
        <w:t>.............</w:t>
      </w:r>
      <w:r>
        <w:rPr>
          <w:sz w:val="24"/>
          <w:szCs w:val="24"/>
        </w:rPr>
        <w:t xml:space="preserve">,  domiciliada na Rua </w:t>
      </w:r>
      <w:r>
        <w:rPr>
          <w:color w:val="FF0000"/>
          <w:sz w:val="24"/>
          <w:szCs w:val="24"/>
        </w:rPr>
        <w:t>.............</w:t>
      </w:r>
      <w:r>
        <w:rPr>
          <w:color w:val="000000"/>
          <w:sz w:val="24"/>
          <w:szCs w:val="24"/>
        </w:rPr>
        <w:t xml:space="preserve">, Cidade </w:t>
      </w:r>
      <w:r>
        <w:rPr>
          <w:color w:val="FF0000"/>
          <w:sz w:val="24"/>
          <w:szCs w:val="24"/>
        </w:rPr>
        <w:t>.............</w:t>
      </w:r>
      <w:r>
        <w:rPr>
          <w:color w:val="000000"/>
          <w:sz w:val="24"/>
          <w:szCs w:val="24"/>
        </w:rPr>
        <w:t xml:space="preserve">; </w:t>
      </w:r>
    </w:p>
    <w:p w14:paraId="59971E11">
      <w:pPr>
        <w:rPr>
          <w:rFonts w:eastAsia="Arial"/>
          <w:b/>
          <w:sz w:val="24"/>
          <w:szCs w:val="24"/>
        </w:rPr>
      </w:pPr>
    </w:p>
    <w:p w14:paraId="156959BB">
      <w:pPr>
        <w:rPr>
          <w:rFonts w:eastAsia="Arial"/>
          <w:b/>
          <w:sz w:val="24"/>
          <w:szCs w:val="24"/>
        </w:rPr>
      </w:pPr>
    </w:p>
    <w:p w14:paraId="05A40F76">
      <w:pPr>
        <w:jc w:val="both"/>
        <w:rPr>
          <w:rFonts w:eastAsia="Arial"/>
          <w:b/>
          <w:sz w:val="24"/>
          <w:szCs w:val="24"/>
        </w:rPr>
      </w:pPr>
      <w:r>
        <w:rPr>
          <w:rFonts w:eastAsia="Arial"/>
          <w:b/>
          <w:sz w:val="24"/>
          <w:szCs w:val="24"/>
        </w:rPr>
        <w:t xml:space="preserve">FORNECEDOR nº3 DO CADASTRO DE RESERVA: </w:t>
      </w:r>
      <w:r>
        <w:rPr>
          <w:sz w:val="24"/>
          <w:szCs w:val="24"/>
        </w:rPr>
        <w:t xml:space="preserve">empresa </w:t>
      </w:r>
      <w:r>
        <w:rPr>
          <w:color w:val="FF0000"/>
          <w:sz w:val="24"/>
          <w:szCs w:val="24"/>
        </w:rPr>
        <w:t>.............</w:t>
      </w:r>
      <w:r>
        <w:rPr>
          <w:sz w:val="24"/>
          <w:szCs w:val="24"/>
        </w:rPr>
        <w:t xml:space="preserve">, situada na Rua </w:t>
      </w:r>
      <w:r>
        <w:rPr>
          <w:color w:val="FF0000"/>
          <w:sz w:val="24"/>
          <w:szCs w:val="24"/>
        </w:rPr>
        <w:t>.............</w:t>
      </w:r>
      <w:r>
        <w:rPr>
          <w:sz w:val="24"/>
          <w:szCs w:val="24"/>
        </w:rPr>
        <w:t xml:space="preserve">, Bairro </w:t>
      </w:r>
      <w:r>
        <w:rPr>
          <w:color w:val="FF0000"/>
          <w:sz w:val="24"/>
          <w:szCs w:val="24"/>
        </w:rPr>
        <w:t>.............</w:t>
      </w:r>
      <w:r>
        <w:rPr>
          <w:sz w:val="24"/>
          <w:szCs w:val="24"/>
        </w:rPr>
        <w:t xml:space="preserve">, Cidade </w:t>
      </w:r>
      <w:r>
        <w:rPr>
          <w:color w:val="FF0000"/>
          <w:sz w:val="24"/>
          <w:szCs w:val="24"/>
        </w:rPr>
        <w:t>.............</w:t>
      </w:r>
      <w:r>
        <w:rPr>
          <w:sz w:val="24"/>
          <w:szCs w:val="24"/>
        </w:rPr>
        <w:t xml:space="preserve"> e inscrita no CNPJ/MF sob o nº </w:t>
      </w:r>
      <w:r>
        <w:rPr>
          <w:color w:val="FF0000"/>
          <w:sz w:val="24"/>
          <w:szCs w:val="24"/>
        </w:rPr>
        <w:t>.............</w:t>
      </w:r>
      <w:r>
        <w:rPr>
          <w:sz w:val="24"/>
          <w:szCs w:val="24"/>
        </w:rPr>
        <w:t xml:space="preserve">, representada neste ato por </w:t>
      </w:r>
      <w:r>
        <w:rPr>
          <w:color w:val="FF0000"/>
          <w:sz w:val="24"/>
          <w:szCs w:val="24"/>
        </w:rPr>
        <w:t>.............</w:t>
      </w:r>
      <w:r>
        <w:rPr>
          <w:sz w:val="24"/>
          <w:szCs w:val="24"/>
        </w:rPr>
        <w:t xml:space="preserve">, cédula de identidade nº </w:t>
      </w:r>
      <w:r>
        <w:rPr>
          <w:color w:val="FF0000"/>
          <w:sz w:val="24"/>
          <w:szCs w:val="24"/>
        </w:rPr>
        <w:t>.............</w:t>
      </w:r>
      <w:r>
        <w:rPr>
          <w:sz w:val="24"/>
          <w:szCs w:val="24"/>
        </w:rPr>
        <w:t xml:space="preserve">,  domiciliada na Rua </w:t>
      </w:r>
      <w:r>
        <w:rPr>
          <w:color w:val="FF0000"/>
          <w:sz w:val="24"/>
          <w:szCs w:val="24"/>
        </w:rPr>
        <w:t>.............</w:t>
      </w:r>
      <w:r>
        <w:rPr>
          <w:color w:val="000000"/>
          <w:sz w:val="24"/>
          <w:szCs w:val="24"/>
        </w:rPr>
        <w:t xml:space="preserve">, Cidade </w:t>
      </w:r>
      <w:r>
        <w:rPr>
          <w:color w:val="FF0000"/>
          <w:sz w:val="24"/>
          <w:szCs w:val="24"/>
        </w:rPr>
        <w:t>.............</w:t>
      </w:r>
      <w:r>
        <w:rPr>
          <w:color w:val="000000"/>
          <w:sz w:val="24"/>
          <w:szCs w:val="24"/>
        </w:rPr>
        <w:t xml:space="preserve">; </w:t>
      </w:r>
    </w:p>
    <w:p w14:paraId="01F1E203">
      <w:pPr>
        <w:rPr>
          <w:rFonts w:eastAsia="Arial"/>
          <w:b/>
          <w:sz w:val="24"/>
          <w:szCs w:val="24"/>
        </w:rPr>
      </w:pPr>
    </w:p>
    <w:p w14:paraId="37782CC9">
      <w:pPr>
        <w:spacing w:line="288" w:lineRule="auto"/>
        <w:jc w:val="center"/>
        <w:rPr>
          <w:rFonts w:eastAsia="Arial"/>
          <w:b/>
          <w:sz w:val="24"/>
          <w:szCs w:val="24"/>
        </w:rPr>
      </w:pPr>
    </w:p>
    <w:tbl>
      <w:tblPr>
        <w:tblStyle w:val="10"/>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53"/>
        <w:gridCol w:w="4223"/>
      </w:tblGrid>
      <w:tr w14:paraId="7E3A89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6964" w:type="dxa"/>
            <w:shd w:val="clear" w:color="auto" w:fill="auto"/>
          </w:tcPr>
          <w:p w14:paraId="185AEE7F">
            <w:pPr>
              <w:spacing w:line="288" w:lineRule="auto"/>
              <w:jc w:val="center"/>
              <w:rPr>
                <w:rFonts w:eastAsia="Arial"/>
                <w:b/>
                <w:sz w:val="24"/>
                <w:szCs w:val="24"/>
              </w:rPr>
            </w:pPr>
            <w:r>
              <w:rPr>
                <w:rFonts w:eastAsia="Arial"/>
                <w:b/>
                <w:sz w:val="24"/>
                <w:szCs w:val="24"/>
              </w:rPr>
              <w:t>FORNECEDOR</w:t>
            </w:r>
          </w:p>
        </w:tc>
        <w:tc>
          <w:tcPr>
            <w:tcW w:w="7072" w:type="dxa"/>
            <w:shd w:val="clear" w:color="auto" w:fill="auto"/>
          </w:tcPr>
          <w:p w14:paraId="737C2F96">
            <w:pPr>
              <w:spacing w:line="288" w:lineRule="auto"/>
              <w:jc w:val="center"/>
              <w:rPr>
                <w:rFonts w:eastAsia="Arial"/>
                <w:b/>
                <w:sz w:val="24"/>
                <w:szCs w:val="24"/>
              </w:rPr>
            </w:pPr>
            <w:r>
              <w:rPr>
                <w:rFonts w:eastAsia="Arial"/>
                <w:b/>
                <w:sz w:val="24"/>
                <w:szCs w:val="24"/>
              </w:rPr>
              <w:t>ITEM</w:t>
            </w:r>
          </w:p>
        </w:tc>
      </w:tr>
      <w:tr w14:paraId="56218D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4" w:type="dxa"/>
            <w:shd w:val="clear" w:color="auto" w:fill="auto"/>
          </w:tcPr>
          <w:p w14:paraId="26AE3F2C">
            <w:pPr>
              <w:spacing w:line="288" w:lineRule="auto"/>
              <w:jc w:val="center"/>
              <w:rPr>
                <w:rFonts w:eastAsia="Arial"/>
                <w:b/>
                <w:sz w:val="24"/>
                <w:szCs w:val="24"/>
              </w:rPr>
            </w:pPr>
          </w:p>
        </w:tc>
        <w:tc>
          <w:tcPr>
            <w:tcW w:w="7072" w:type="dxa"/>
            <w:shd w:val="clear" w:color="auto" w:fill="auto"/>
          </w:tcPr>
          <w:p w14:paraId="05BA4624">
            <w:pPr>
              <w:spacing w:line="288" w:lineRule="auto"/>
              <w:jc w:val="center"/>
              <w:rPr>
                <w:rFonts w:eastAsia="Arial"/>
                <w:b/>
                <w:sz w:val="24"/>
                <w:szCs w:val="24"/>
              </w:rPr>
            </w:pPr>
          </w:p>
        </w:tc>
      </w:tr>
    </w:tbl>
    <w:p w14:paraId="6044DAF8">
      <w:pPr>
        <w:spacing w:line="288" w:lineRule="auto"/>
        <w:jc w:val="center"/>
        <w:rPr>
          <w:rFonts w:eastAsia="Arial"/>
          <w:b/>
          <w:sz w:val="24"/>
          <w:szCs w:val="24"/>
        </w:rPr>
      </w:pPr>
    </w:p>
    <w:p w14:paraId="4C9153FB">
      <w:pPr>
        <w:spacing w:line="288" w:lineRule="auto"/>
        <w:contextualSpacing/>
        <w:rPr>
          <w:b/>
          <w:bCs/>
          <w:sz w:val="24"/>
          <w:szCs w:val="24"/>
        </w:rPr>
      </w:pPr>
    </w:p>
    <w:p w14:paraId="7E4F8FA2">
      <w:pPr>
        <w:spacing w:line="288" w:lineRule="auto"/>
        <w:contextualSpacing/>
        <w:jc w:val="center"/>
        <w:rPr>
          <w:b/>
          <w:bCs/>
          <w:color w:val="000000" w:themeColor="text1"/>
          <w:sz w:val="24"/>
          <w:szCs w:val="24"/>
          <w14:textFill>
            <w14:solidFill>
              <w14:schemeClr w14:val="tx1"/>
            </w14:solidFill>
          </w14:textFill>
        </w:rPr>
      </w:pPr>
    </w:p>
    <w:p w14:paraId="4D4636AE">
      <w:pPr>
        <w:pStyle w:val="97"/>
        <w:spacing w:before="0" w:beforeAutospacing="0" w:after="0" w:afterAutospacing="0" w:line="360" w:lineRule="auto"/>
        <w:ind w:right="-1" w:firstLine="993"/>
        <w:rPr>
          <w:rFonts w:eastAsia="Calibri"/>
          <w:b/>
          <w:bCs/>
          <w:lang w:eastAsia="en-US"/>
        </w:rPr>
      </w:pPr>
      <w:r>
        <w:rPr>
          <w:rFonts w:eastAsia="Calibri"/>
          <w:b/>
          <w:bCs/>
          <w:lang w:eastAsia="en-US"/>
        </w:rPr>
        <w:t xml:space="preserve">                                                    ANEXO VI</w:t>
      </w:r>
    </w:p>
    <w:p w14:paraId="19ACA2BB">
      <w:pPr>
        <w:spacing w:line="288" w:lineRule="auto"/>
        <w:contextualSpacing/>
        <w:jc w:val="center"/>
        <w:rPr>
          <w:b/>
          <w:bCs/>
          <w:sz w:val="24"/>
          <w:szCs w:val="24"/>
          <w:u w:val="single"/>
        </w:rPr>
      </w:pPr>
      <w:r>
        <w:rPr>
          <w:b/>
          <w:bCs/>
          <w:sz w:val="24"/>
          <w:szCs w:val="24"/>
          <w:highlight w:val="yellow"/>
          <w:u w:val="single"/>
        </w:rPr>
        <w:t>MINUTA- CONTRATO</w:t>
      </w:r>
      <w:r>
        <w:rPr>
          <w:b/>
          <w:bCs/>
          <w:sz w:val="24"/>
          <w:szCs w:val="24"/>
          <w:u w:val="single"/>
        </w:rPr>
        <w:t xml:space="preserve"> </w:t>
      </w:r>
    </w:p>
    <w:p w14:paraId="6D181AED">
      <w:pPr>
        <w:spacing w:line="288" w:lineRule="auto"/>
        <w:contextualSpacing/>
        <w:jc w:val="both"/>
        <w:rPr>
          <w:color w:val="000000" w:themeColor="text1"/>
          <w:sz w:val="24"/>
          <w:szCs w:val="24"/>
          <w14:textFill>
            <w14:solidFill>
              <w14:schemeClr w14:val="tx1"/>
            </w14:solidFill>
          </w14:textFill>
        </w:rPr>
      </w:pPr>
    </w:p>
    <w:p w14:paraId="73579F18">
      <w:pPr>
        <w:spacing w:line="288" w:lineRule="auto"/>
        <w:ind w:left="3544"/>
        <w:contextualSpacing/>
        <w:jc w:val="both"/>
        <w:rPr>
          <w:b/>
          <w:sz w:val="24"/>
          <w:szCs w:val="24"/>
        </w:rPr>
      </w:pPr>
      <w:r>
        <w:rPr>
          <w:b/>
          <w:sz w:val="24"/>
          <w:szCs w:val="24"/>
        </w:rPr>
        <w:t xml:space="preserve">CONTRATO Nº XXX/2026, DE </w:t>
      </w:r>
      <w:r>
        <w:rPr>
          <w:rFonts w:eastAsia="Cambria"/>
          <w:b/>
          <w:sz w:val="24"/>
          <w:szCs w:val="24"/>
        </w:rPr>
        <w:t xml:space="preserve">AQUISIÇÃO DE VEÍCULO - </w:t>
      </w:r>
      <w:r>
        <w:rPr>
          <w:rFonts w:eastAsia="Cambria" w:asciiTheme="minorHAnsi" w:hAnsiTheme="minorHAnsi" w:cstheme="minorHAnsi"/>
          <w:sz w:val="24"/>
          <w:szCs w:val="24"/>
        </w:rPr>
        <w:t xml:space="preserve"> </w:t>
      </w:r>
      <w:r>
        <w:rPr>
          <w:b/>
          <w:sz w:val="24"/>
          <w:szCs w:val="24"/>
        </w:rPr>
        <w:t xml:space="preserve">QUE FAZEM ENTRE SI O </w:t>
      </w:r>
      <w:r>
        <w:rPr>
          <w:b/>
          <w:bCs/>
          <w:sz w:val="24"/>
          <w:szCs w:val="24"/>
        </w:rPr>
        <w:t>MUNICÍPIO DE VALENÇA, PELA SECRETARIA MUNICIPAL DE ASSISTÊNCIA, ESPORTE E ENVELHECIMENTO SAUDÁVEL.</w:t>
      </w:r>
    </w:p>
    <w:p w14:paraId="0646D28E">
      <w:pPr>
        <w:spacing w:line="288" w:lineRule="auto"/>
        <w:contextualSpacing/>
        <w:jc w:val="both"/>
        <w:rPr>
          <w:rFonts w:eastAsia="Arial"/>
          <w:b/>
          <w:bCs/>
          <w:color w:val="000000" w:themeColor="text1"/>
          <w:sz w:val="24"/>
          <w:szCs w:val="24"/>
          <w14:textFill>
            <w14:solidFill>
              <w14:schemeClr w14:val="tx1"/>
            </w14:solidFill>
          </w14:textFill>
        </w:rPr>
      </w:pPr>
    </w:p>
    <w:p w14:paraId="66083D31">
      <w:pPr>
        <w:spacing w:line="288" w:lineRule="auto"/>
        <w:contextualSpacing/>
        <w:jc w:val="both"/>
        <w:rPr>
          <w:color w:val="000000" w:themeColor="text1"/>
          <w:sz w:val="24"/>
          <w:szCs w:val="24"/>
          <w14:textFill>
            <w14:solidFill>
              <w14:schemeClr w14:val="tx1"/>
            </w14:solidFill>
          </w14:textFill>
        </w:rPr>
      </w:pPr>
      <w:r>
        <w:rPr>
          <w:rFonts w:eastAsia="Arial"/>
          <w:b/>
          <w:bCs/>
          <w:color w:val="000000" w:themeColor="text1"/>
          <w:sz w:val="24"/>
          <w:szCs w:val="24"/>
          <w14:textFill>
            <w14:solidFill>
              <w14:schemeClr w14:val="tx1"/>
            </w14:solidFill>
          </w14:textFill>
        </w:rPr>
        <w:t xml:space="preserve">O MUNICÍPIO DE VALENÇA, </w:t>
      </w:r>
      <w:r>
        <w:rPr>
          <w:b/>
          <w:bCs/>
          <w:color w:val="000000" w:themeColor="text1"/>
          <w:sz w:val="24"/>
          <w:szCs w:val="24"/>
          <w14:textFill>
            <w14:solidFill>
              <w14:schemeClr w14:val="tx1"/>
            </w14:solidFill>
          </w14:textFill>
        </w:rPr>
        <w:t>pela SECRETARIA MUNICIPAL DE ASSISTÊNCIA, ESPORTE E ENVELHECIMENTO SAUDÁVEL</w:t>
      </w:r>
      <w:r>
        <w:rPr>
          <w:color w:val="000000" w:themeColor="text1"/>
          <w:sz w:val="24"/>
          <w:szCs w:val="24"/>
          <w14:textFill>
            <w14:solidFill>
              <w14:schemeClr w14:val="tx1"/>
            </w14:solidFill>
          </w14:textFill>
        </w:rPr>
        <w:t xml:space="preserve">, com sede na ....................................................., na cidade do ......................................, no Estado do Rio de Janeiro, inscrita no CNPJ sob o nº ................................, neste ato representada por....., portador do CPF nº ..... doravante denominado </w:t>
      </w:r>
      <w:r>
        <w:rPr>
          <w:b/>
          <w:bCs/>
          <w:color w:val="000000" w:themeColor="text1"/>
          <w:sz w:val="24"/>
          <w:szCs w:val="24"/>
          <w14:textFill>
            <w14:solidFill>
              <w14:schemeClr w14:val="tx1"/>
            </w14:solidFill>
          </w14:textFill>
        </w:rPr>
        <w:t>CONTRATANTE</w:t>
      </w:r>
      <w:r>
        <w:rPr>
          <w:color w:val="000000" w:themeColor="text1"/>
          <w:sz w:val="24"/>
          <w:szCs w:val="24"/>
          <w14:textFill>
            <w14:solidFill>
              <w14:schemeClr w14:val="tx1"/>
            </w14:solidFill>
          </w14:textFill>
        </w:rPr>
        <w:t xml:space="preserve">, e xxx, com sede na xxxx, inscrita no CNPJ/MF sob o nº xxx, neste ato representada por .................................. (nome e função), conforme atos constitutivos da empresa, doravante denominado </w:t>
      </w:r>
      <w:r>
        <w:rPr>
          <w:b/>
          <w:bCs/>
          <w:color w:val="000000" w:themeColor="text1"/>
          <w:sz w:val="24"/>
          <w:szCs w:val="24"/>
          <w14:textFill>
            <w14:solidFill>
              <w14:schemeClr w14:val="tx1"/>
            </w14:solidFill>
          </w14:textFill>
        </w:rPr>
        <w:t>CONTRATADO</w:t>
      </w:r>
      <w:r>
        <w:rPr>
          <w:color w:val="000000" w:themeColor="text1"/>
          <w:sz w:val="24"/>
          <w:szCs w:val="24"/>
          <w14:textFill>
            <w14:solidFill>
              <w14:schemeClr w14:val="tx1"/>
            </w14:solidFill>
          </w14:textFill>
        </w:rPr>
        <w:t xml:space="preserve">, com fundamento no Processo SEI nº........, que se regerá pelas disposições da Lei nº 14.133, de 1º de abril de 2021, </w:t>
      </w:r>
      <w:r>
        <w:rPr>
          <w:rFonts w:eastAsia="Arial"/>
          <w:color w:val="000000" w:themeColor="text1"/>
          <w:sz w:val="24"/>
          <w:szCs w:val="24"/>
          <w14:textFill>
            <w14:solidFill>
              <w14:schemeClr w14:val="tx1"/>
            </w14:solidFill>
          </w14:textFill>
        </w:rPr>
        <w:t xml:space="preserve">e pelos normativos municipais aplicáveis, todos disponíveis </w:t>
      </w:r>
      <w:r>
        <w:rPr>
          <w:color w:val="000000" w:themeColor="text1"/>
          <w:sz w:val="24"/>
          <w:szCs w:val="24"/>
          <w14:textFill>
            <w14:solidFill>
              <w14:schemeClr w14:val="tx1"/>
            </w14:solidFill>
          </w14:textFill>
        </w:rPr>
        <w:t>no endereço eletrônico https://valenca.rj.gov.br/, resolvem celebrar o presente instrumento de Contrato, decorrente do Pregão Eletrônico nº xxx/2026 mediante as cláusulas e condições a seguir enunciadas.</w:t>
      </w:r>
    </w:p>
    <w:p w14:paraId="65207610">
      <w:pPr>
        <w:spacing w:line="288" w:lineRule="auto"/>
        <w:contextualSpacing/>
        <w:jc w:val="both"/>
        <w:rPr>
          <w:color w:val="000000" w:themeColor="text1"/>
          <w:sz w:val="24"/>
          <w:szCs w:val="24"/>
          <w14:textFill>
            <w14:solidFill>
              <w14:schemeClr w14:val="tx1"/>
            </w14:solidFill>
          </w14:textFill>
        </w:rPr>
      </w:pPr>
    </w:p>
    <w:p w14:paraId="295E27EB">
      <w:pPr>
        <w:pStyle w:val="101"/>
        <w:spacing w:before="0" w:line="288" w:lineRule="auto"/>
        <w:ind w:left="0" w:firstLine="0"/>
        <w:contextualSpacing/>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CLÁUSULA PRIMEIRA – OBJETO</w:t>
      </w:r>
    </w:p>
    <w:p w14:paraId="1C2E2FA0">
      <w:pPr>
        <w:spacing w:line="288" w:lineRule="auto"/>
        <w:contextualSpacing/>
        <w:rPr>
          <w:sz w:val="24"/>
          <w:szCs w:val="24"/>
        </w:rPr>
      </w:pPr>
    </w:p>
    <w:p w14:paraId="014DAABF">
      <w:pPr>
        <w:pStyle w:val="77"/>
        <w:spacing w:line="36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Aquisição de veículo de 7 (sete) lugares, tipo SUV, conforme condições e especificações contidas no Termo de Referência.</w:t>
      </w:r>
    </w:p>
    <w:p w14:paraId="34AA33A4">
      <w:pPr>
        <w:pStyle w:val="99"/>
        <w:spacing w:before="0" w:after="0" w:line="288" w:lineRule="auto"/>
        <w:ind w:left="0" w:firstLine="0"/>
        <w:contextualSpacing/>
        <w:rPr>
          <w:rFonts w:ascii="Times New Roman" w:hAnsi="Times New Roman" w:cs="Times New Roman"/>
          <w:sz w:val="24"/>
          <w:szCs w:val="24"/>
        </w:rPr>
      </w:pPr>
    </w:p>
    <w:p w14:paraId="008BF698">
      <w:pPr>
        <w:pStyle w:val="99"/>
        <w:numPr>
          <w:ilvl w:val="1"/>
          <w:numId w:val="6"/>
        </w:numPr>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Objeto da contratação: </w:t>
      </w:r>
    </w:p>
    <w:p w14:paraId="147FDACC">
      <w:pPr>
        <w:pStyle w:val="99"/>
        <w:spacing w:before="0" w:after="0" w:line="288" w:lineRule="auto"/>
        <w:ind w:left="0" w:firstLine="0"/>
        <w:contextualSpacing/>
        <w:rPr>
          <w:rFonts w:ascii="Times New Roman" w:hAnsi="Times New Roman" w:cs="Times New Roman"/>
          <w:sz w:val="24"/>
          <w:szCs w:val="24"/>
        </w:rPr>
      </w:pPr>
    </w:p>
    <w:tbl>
      <w:tblPr>
        <w:tblStyle w:val="10"/>
        <w:tblW w:w="9649" w:type="dxa"/>
        <w:tblInd w:w="0" w:type="dxa"/>
        <w:tblLayout w:type="fixed"/>
        <w:tblCellMar>
          <w:top w:w="0" w:type="dxa"/>
          <w:left w:w="108" w:type="dxa"/>
          <w:bottom w:w="0" w:type="dxa"/>
          <w:right w:w="108" w:type="dxa"/>
        </w:tblCellMar>
      </w:tblPr>
      <w:tblGrid>
        <w:gridCol w:w="1021"/>
        <w:gridCol w:w="2240"/>
        <w:gridCol w:w="1277"/>
        <w:gridCol w:w="1134"/>
        <w:gridCol w:w="1709"/>
        <w:gridCol w:w="1279"/>
        <w:gridCol w:w="989"/>
      </w:tblGrid>
      <w:tr w14:paraId="483CA3A7">
        <w:tblPrEx>
          <w:tblCellMar>
            <w:top w:w="0" w:type="dxa"/>
            <w:left w:w="108" w:type="dxa"/>
            <w:bottom w:w="0" w:type="dxa"/>
            <w:right w:w="108" w:type="dxa"/>
          </w:tblCellMar>
        </w:tblPrEx>
        <w:tc>
          <w:tcPr>
            <w:tcW w:w="1021" w:type="dxa"/>
            <w:tcBorders>
              <w:top w:val="single" w:color="000000" w:sz="4" w:space="0"/>
              <w:left w:val="single" w:color="000000" w:sz="4" w:space="0"/>
              <w:bottom w:val="single" w:color="000000" w:sz="4" w:space="0"/>
              <w:right w:val="single" w:color="000000" w:sz="4" w:space="0"/>
            </w:tcBorders>
          </w:tcPr>
          <w:p w14:paraId="07F972B8">
            <w:pPr>
              <w:widowControl w:val="0"/>
              <w:spacing w:line="288" w:lineRule="auto"/>
              <w:contextualSpacing/>
              <w:jc w:val="both"/>
              <w:rPr>
                <w:rFonts w:eastAsia="Arial"/>
                <w:b/>
                <w:bCs/>
                <w:color w:val="000000"/>
                <w:sz w:val="24"/>
                <w:szCs w:val="24"/>
              </w:rPr>
            </w:pPr>
            <w:r>
              <w:rPr>
                <w:rFonts w:eastAsia="Arial"/>
                <w:b/>
                <w:bCs/>
                <w:color w:val="000000"/>
                <w:sz w:val="24"/>
                <w:szCs w:val="24"/>
              </w:rPr>
              <w:t>ITEM</w:t>
            </w:r>
          </w:p>
          <w:p w14:paraId="07B2BB13">
            <w:pPr>
              <w:widowControl w:val="0"/>
              <w:spacing w:line="288" w:lineRule="auto"/>
              <w:contextualSpacing/>
              <w:jc w:val="both"/>
              <w:rPr>
                <w:rFonts w:eastAsia="Arial"/>
                <w:b/>
                <w:bCs/>
                <w:color w:val="000000"/>
                <w:sz w:val="24"/>
                <w:szCs w:val="24"/>
              </w:rPr>
            </w:pPr>
          </w:p>
        </w:tc>
        <w:tc>
          <w:tcPr>
            <w:tcW w:w="2240" w:type="dxa"/>
            <w:tcBorders>
              <w:top w:val="single" w:color="000000" w:sz="4" w:space="0"/>
              <w:left w:val="single" w:color="000000" w:sz="4" w:space="0"/>
              <w:bottom w:val="single" w:color="000000" w:sz="4" w:space="0"/>
              <w:right w:val="single" w:color="000000" w:sz="4" w:space="0"/>
            </w:tcBorders>
          </w:tcPr>
          <w:p w14:paraId="6EBF88E6">
            <w:pPr>
              <w:widowControl w:val="0"/>
              <w:spacing w:line="288" w:lineRule="auto"/>
              <w:contextualSpacing/>
              <w:jc w:val="both"/>
              <w:rPr>
                <w:rFonts w:eastAsia="Arial"/>
                <w:color w:val="000000"/>
                <w:sz w:val="24"/>
                <w:szCs w:val="24"/>
              </w:rPr>
            </w:pPr>
            <w:r>
              <w:rPr>
                <w:rFonts w:eastAsia="Arial"/>
                <w:b/>
                <w:bCs/>
                <w:color w:val="000000"/>
                <w:sz w:val="24"/>
                <w:szCs w:val="24"/>
              </w:rPr>
              <w:t>ESPECIFICAÇÃO</w:t>
            </w:r>
          </w:p>
        </w:tc>
        <w:tc>
          <w:tcPr>
            <w:tcW w:w="1277" w:type="dxa"/>
            <w:tcBorders>
              <w:top w:val="single" w:color="000000" w:sz="4" w:space="0"/>
              <w:left w:val="single" w:color="000000" w:sz="4" w:space="0"/>
              <w:bottom w:val="single" w:color="000000" w:sz="4" w:space="0"/>
              <w:right w:val="single" w:color="000000" w:sz="4" w:space="0"/>
            </w:tcBorders>
          </w:tcPr>
          <w:p w14:paraId="44F3E291">
            <w:pPr>
              <w:widowControl w:val="0"/>
              <w:spacing w:line="288" w:lineRule="auto"/>
              <w:contextualSpacing/>
              <w:jc w:val="both"/>
              <w:rPr>
                <w:rFonts w:eastAsia="Arial"/>
                <w:color w:val="000000"/>
                <w:sz w:val="24"/>
                <w:szCs w:val="24"/>
              </w:rPr>
            </w:pPr>
            <w:r>
              <w:rPr>
                <w:rFonts w:eastAsia="Arial"/>
                <w:b/>
                <w:bCs/>
                <w:color w:val="000000"/>
                <w:sz w:val="24"/>
                <w:szCs w:val="24"/>
              </w:rPr>
              <w:t>CATMAT</w:t>
            </w:r>
          </w:p>
        </w:tc>
        <w:tc>
          <w:tcPr>
            <w:tcW w:w="1134" w:type="dxa"/>
            <w:tcBorders>
              <w:top w:val="single" w:color="000000" w:sz="4" w:space="0"/>
              <w:left w:val="single" w:color="000000" w:sz="4" w:space="0"/>
              <w:bottom w:val="single" w:color="000000" w:sz="4" w:space="0"/>
              <w:right w:val="single" w:color="000000" w:sz="4" w:space="0"/>
            </w:tcBorders>
          </w:tcPr>
          <w:p w14:paraId="5B47B269">
            <w:pPr>
              <w:widowControl w:val="0"/>
              <w:spacing w:line="288" w:lineRule="auto"/>
              <w:contextualSpacing/>
              <w:jc w:val="both"/>
              <w:rPr>
                <w:rFonts w:eastAsia="Arial"/>
                <w:color w:val="000000"/>
                <w:sz w:val="24"/>
                <w:szCs w:val="24"/>
              </w:rPr>
            </w:pPr>
            <w:r>
              <w:rPr>
                <w:rFonts w:eastAsia="Arial"/>
                <w:b/>
                <w:bCs/>
                <w:color w:val="000000"/>
                <w:sz w:val="24"/>
                <w:szCs w:val="24"/>
              </w:rPr>
              <w:t>UNIDADE DE MEDIDA</w:t>
            </w:r>
          </w:p>
        </w:tc>
        <w:tc>
          <w:tcPr>
            <w:tcW w:w="1709" w:type="dxa"/>
            <w:tcBorders>
              <w:top w:val="single" w:color="000000" w:sz="4" w:space="0"/>
              <w:left w:val="single" w:color="000000" w:sz="4" w:space="0"/>
              <w:bottom w:val="single" w:color="000000" w:sz="4" w:space="0"/>
              <w:right w:val="single" w:color="000000" w:sz="4" w:space="0"/>
            </w:tcBorders>
          </w:tcPr>
          <w:p w14:paraId="689448E6">
            <w:pPr>
              <w:widowControl w:val="0"/>
              <w:spacing w:line="288" w:lineRule="auto"/>
              <w:contextualSpacing/>
              <w:jc w:val="both"/>
              <w:rPr>
                <w:rFonts w:eastAsia="Arial"/>
                <w:b/>
                <w:bCs/>
                <w:sz w:val="24"/>
                <w:szCs w:val="24"/>
              </w:rPr>
            </w:pPr>
            <w:r>
              <w:rPr>
                <w:rFonts w:eastAsia="Arial"/>
                <w:b/>
                <w:bCs/>
                <w:sz w:val="24"/>
                <w:szCs w:val="24"/>
              </w:rPr>
              <w:t>QUANTIDADE</w:t>
            </w:r>
          </w:p>
        </w:tc>
        <w:tc>
          <w:tcPr>
            <w:tcW w:w="1279" w:type="dxa"/>
            <w:tcBorders>
              <w:top w:val="single" w:color="000000" w:sz="4" w:space="0"/>
              <w:left w:val="single" w:color="000000" w:sz="4" w:space="0"/>
              <w:bottom w:val="single" w:color="000000" w:sz="4" w:space="0"/>
              <w:right w:val="single" w:color="000000" w:sz="4" w:space="0"/>
            </w:tcBorders>
          </w:tcPr>
          <w:p w14:paraId="1BBD88D5">
            <w:pPr>
              <w:widowControl w:val="0"/>
              <w:spacing w:line="288" w:lineRule="auto"/>
              <w:contextualSpacing/>
              <w:jc w:val="both"/>
              <w:rPr>
                <w:rFonts w:eastAsia="Arial"/>
                <w:b/>
                <w:bCs/>
                <w:sz w:val="24"/>
                <w:szCs w:val="24"/>
              </w:rPr>
            </w:pPr>
            <w:r>
              <w:rPr>
                <w:rFonts w:eastAsia="Arial"/>
                <w:b/>
                <w:bCs/>
                <w:sz w:val="24"/>
                <w:szCs w:val="24"/>
              </w:rPr>
              <w:t>VALOR UNITÁRIO</w:t>
            </w:r>
          </w:p>
        </w:tc>
        <w:tc>
          <w:tcPr>
            <w:tcW w:w="989" w:type="dxa"/>
            <w:tcBorders>
              <w:top w:val="single" w:color="000000" w:sz="4" w:space="0"/>
              <w:left w:val="single" w:color="000000" w:sz="4" w:space="0"/>
              <w:bottom w:val="single" w:color="000000" w:sz="4" w:space="0"/>
              <w:right w:val="single" w:color="000000" w:sz="4" w:space="0"/>
            </w:tcBorders>
          </w:tcPr>
          <w:p w14:paraId="51370EB9">
            <w:pPr>
              <w:widowControl w:val="0"/>
              <w:spacing w:line="288" w:lineRule="auto"/>
              <w:contextualSpacing/>
              <w:jc w:val="both"/>
              <w:rPr>
                <w:rFonts w:eastAsia="Arial"/>
                <w:b/>
                <w:bCs/>
                <w:sz w:val="24"/>
                <w:szCs w:val="24"/>
              </w:rPr>
            </w:pPr>
            <w:r>
              <w:rPr>
                <w:rFonts w:eastAsia="Arial"/>
                <w:b/>
                <w:bCs/>
                <w:sz w:val="24"/>
                <w:szCs w:val="24"/>
              </w:rPr>
              <w:t>VALOR TOTAL</w:t>
            </w:r>
          </w:p>
        </w:tc>
      </w:tr>
      <w:tr w14:paraId="466B674F">
        <w:tblPrEx>
          <w:tblCellMar>
            <w:top w:w="0" w:type="dxa"/>
            <w:left w:w="108" w:type="dxa"/>
            <w:bottom w:w="0" w:type="dxa"/>
            <w:right w:w="108" w:type="dxa"/>
          </w:tblCellMar>
        </w:tblPrEx>
        <w:tc>
          <w:tcPr>
            <w:tcW w:w="1021" w:type="dxa"/>
            <w:tcBorders>
              <w:top w:val="single" w:color="000000" w:sz="4" w:space="0"/>
              <w:left w:val="single" w:color="000000" w:sz="4" w:space="0"/>
              <w:bottom w:val="single" w:color="000000" w:sz="4" w:space="0"/>
              <w:right w:val="single" w:color="000000" w:sz="4" w:space="0"/>
            </w:tcBorders>
          </w:tcPr>
          <w:p w14:paraId="595F0C57">
            <w:pPr>
              <w:widowControl w:val="0"/>
              <w:spacing w:line="288" w:lineRule="auto"/>
              <w:contextualSpacing/>
              <w:jc w:val="both"/>
              <w:rPr>
                <w:rFonts w:eastAsia="Arial"/>
                <w:b/>
                <w:bCs/>
                <w:color w:val="000000"/>
                <w:sz w:val="24"/>
                <w:szCs w:val="24"/>
              </w:rPr>
            </w:pPr>
            <w:r>
              <w:rPr>
                <w:rFonts w:eastAsia="Arial"/>
                <w:b/>
                <w:bCs/>
                <w:color w:val="000000"/>
                <w:sz w:val="24"/>
                <w:szCs w:val="24"/>
              </w:rPr>
              <w:t>1</w:t>
            </w:r>
          </w:p>
        </w:tc>
        <w:tc>
          <w:tcPr>
            <w:tcW w:w="2240" w:type="dxa"/>
            <w:tcBorders>
              <w:top w:val="single" w:color="000000" w:sz="4" w:space="0"/>
              <w:left w:val="single" w:color="000000" w:sz="4" w:space="0"/>
              <w:bottom w:val="single" w:color="000000" w:sz="4" w:space="0"/>
              <w:right w:val="single" w:color="000000" w:sz="4" w:space="0"/>
            </w:tcBorders>
          </w:tcPr>
          <w:p w14:paraId="2E695B2B">
            <w:pPr>
              <w:widowControl w:val="0"/>
              <w:spacing w:line="288" w:lineRule="auto"/>
              <w:contextualSpacing/>
              <w:jc w:val="both"/>
              <w:rPr>
                <w:rFonts w:eastAsia="Arial"/>
                <w:color w:val="000000"/>
                <w:sz w:val="24"/>
                <w:szCs w:val="24"/>
              </w:rPr>
            </w:pPr>
          </w:p>
        </w:tc>
        <w:tc>
          <w:tcPr>
            <w:tcW w:w="1277" w:type="dxa"/>
            <w:tcBorders>
              <w:top w:val="single" w:color="000000" w:sz="4" w:space="0"/>
              <w:left w:val="single" w:color="000000" w:sz="4" w:space="0"/>
              <w:bottom w:val="single" w:color="000000" w:sz="4" w:space="0"/>
              <w:right w:val="single" w:color="000000" w:sz="4" w:space="0"/>
            </w:tcBorders>
          </w:tcPr>
          <w:p w14:paraId="1ADB5A3D">
            <w:pPr>
              <w:widowControl w:val="0"/>
              <w:spacing w:line="288" w:lineRule="auto"/>
              <w:contextualSpacing/>
              <w:jc w:val="both"/>
              <w:rPr>
                <w:rFonts w:eastAsia="Arial"/>
                <w:color w:val="000000"/>
                <w:sz w:val="24"/>
                <w:szCs w:val="24"/>
              </w:rPr>
            </w:pPr>
          </w:p>
        </w:tc>
        <w:tc>
          <w:tcPr>
            <w:tcW w:w="1134" w:type="dxa"/>
            <w:tcBorders>
              <w:top w:val="single" w:color="000000" w:sz="4" w:space="0"/>
              <w:left w:val="single" w:color="000000" w:sz="4" w:space="0"/>
              <w:bottom w:val="single" w:color="000000" w:sz="4" w:space="0"/>
              <w:right w:val="single" w:color="000000" w:sz="4" w:space="0"/>
            </w:tcBorders>
          </w:tcPr>
          <w:p w14:paraId="6C2192ED">
            <w:pPr>
              <w:widowControl w:val="0"/>
              <w:spacing w:line="288" w:lineRule="auto"/>
              <w:contextualSpacing/>
              <w:jc w:val="both"/>
              <w:rPr>
                <w:rFonts w:eastAsia="Arial"/>
                <w:color w:val="000000"/>
                <w:sz w:val="24"/>
                <w:szCs w:val="24"/>
              </w:rPr>
            </w:pPr>
          </w:p>
        </w:tc>
        <w:tc>
          <w:tcPr>
            <w:tcW w:w="1709" w:type="dxa"/>
            <w:tcBorders>
              <w:top w:val="single" w:color="000000" w:sz="4" w:space="0"/>
              <w:left w:val="single" w:color="000000" w:sz="4" w:space="0"/>
              <w:bottom w:val="single" w:color="000000" w:sz="4" w:space="0"/>
              <w:right w:val="single" w:color="000000" w:sz="4" w:space="0"/>
            </w:tcBorders>
          </w:tcPr>
          <w:p w14:paraId="5F0E73D9">
            <w:pPr>
              <w:widowControl w:val="0"/>
              <w:spacing w:line="288" w:lineRule="auto"/>
              <w:contextualSpacing/>
              <w:jc w:val="both"/>
              <w:rPr>
                <w:rFonts w:eastAsia="Arial"/>
                <w:color w:val="000000"/>
                <w:sz w:val="24"/>
                <w:szCs w:val="24"/>
              </w:rPr>
            </w:pPr>
          </w:p>
        </w:tc>
        <w:tc>
          <w:tcPr>
            <w:tcW w:w="1279" w:type="dxa"/>
            <w:tcBorders>
              <w:top w:val="single" w:color="000000" w:sz="4" w:space="0"/>
              <w:left w:val="single" w:color="000000" w:sz="4" w:space="0"/>
              <w:bottom w:val="single" w:color="000000" w:sz="4" w:space="0"/>
              <w:right w:val="single" w:color="000000" w:sz="4" w:space="0"/>
            </w:tcBorders>
          </w:tcPr>
          <w:p w14:paraId="487F3F72">
            <w:pPr>
              <w:widowControl w:val="0"/>
              <w:spacing w:line="288" w:lineRule="auto"/>
              <w:contextualSpacing/>
              <w:jc w:val="both"/>
              <w:rPr>
                <w:rFonts w:eastAsia="Arial"/>
                <w:color w:val="000000"/>
                <w:sz w:val="24"/>
                <w:szCs w:val="24"/>
              </w:rPr>
            </w:pPr>
          </w:p>
        </w:tc>
        <w:tc>
          <w:tcPr>
            <w:tcW w:w="989" w:type="dxa"/>
            <w:tcBorders>
              <w:top w:val="single" w:color="000000" w:sz="4" w:space="0"/>
              <w:left w:val="single" w:color="000000" w:sz="4" w:space="0"/>
              <w:bottom w:val="single" w:color="000000" w:sz="4" w:space="0"/>
              <w:right w:val="single" w:color="000000" w:sz="4" w:space="0"/>
            </w:tcBorders>
          </w:tcPr>
          <w:p w14:paraId="54B1DCAB">
            <w:pPr>
              <w:widowControl w:val="0"/>
              <w:spacing w:line="288" w:lineRule="auto"/>
              <w:contextualSpacing/>
              <w:jc w:val="both"/>
              <w:rPr>
                <w:rFonts w:eastAsia="Arial"/>
                <w:color w:val="000000"/>
                <w:sz w:val="24"/>
                <w:szCs w:val="24"/>
              </w:rPr>
            </w:pPr>
          </w:p>
        </w:tc>
      </w:tr>
      <w:tr w14:paraId="4BF7ECC6">
        <w:tblPrEx>
          <w:tblCellMar>
            <w:top w:w="0" w:type="dxa"/>
            <w:left w:w="108" w:type="dxa"/>
            <w:bottom w:w="0" w:type="dxa"/>
            <w:right w:w="108" w:type="dxa"/>
          </w:tblCellMar>
        </w:tblPrEx>
        <w:tc>
          <w:tcPr>
            <w:tcW w:w="1021" w:type="dxa"/>
            <w:tcBorders>
              <w:top w:val="single" w:color="000000" w:sz="4" w:space="0"/>
              <w:left w:val="single" w:color="000000" w:sz="4" w:space="0"/>
              <w:bottom w:val="single" w:color="000000" w:sz="4" w:space="0"/>
              <w:right w:val="single" w:color="000000" w:sz="4" w:space="0"/>
            </w:tcBorders>
          </w:tcPr>
          <w:p w14:paraId="21671DB7">
            <w:pPr>
              <w:widowControl w:val="0"/>
              <w:spacing w:line="288" w:lineRule="auto"/>
              <w:contextualSpacing/>
              <w:jc w:val="both"/>
              <w:rPr>
                <w:rFonts w:eastAsia="Arial"/>
                <w:b/>
                <w:bCs/>
                <w:color w:val="000000"/>
                <w:sz w:val="24"/>
                <w:szCs w:val="24"/>
              </w:rPr>
            </w:pPr>
            <w:r>
              <w:rPr>
                <w:rFonts w:eastAsia="Arial"/>
                <w:b/>
                <w:bCs/>
                <w:color w:val="000000"/>
                <w:sz w:val="24"/>
                <w:szCs w:val="24"/>
              </w:rPr>
              <w:t>2</w:t>
            </w:r>
          </w:p>
        </w:tc>
        <w:tc>
          <w:tcPr>
            <w:tcW w:w="2240" w:type="dxa"/>
            <w:tcBorders>
              <w:top w:val="single" w:color="000000" w:sz="4" w:space="0"/>
              <w:left w:val="single" w:color="000000" w:sz="4" w:space="0"/>
              <w:bottom w:val="single" w:color="000000" w:sz="4" w:space="0"/>
              <w:right w:val="single" w:color="000000" w:sz="4" w:space="0"/>
            </w:tcBorders>
          </w:tcPr>
          <w:p w14:paraId="0BEBAB0F">
            <w:pPr>
              <w:widowControl w:val="0"/>
              <w:spacing w:line="288" w:lineRule="auto"/>
              <w:contextualSpacing/>
              <w:jc w:val="both"/>
              <w:rPr>
                <w:rFonts w:eastAsia="Arial"/>
                <w:color w:val="000000"/>
                <w:sz w:val="24"/>
                <w:szCs w:val="24"/>
              </w:rPr>
            </w:pPr>
          </w:p>
        </w:tc>
        <w:tc>
          <w:tcPr>
            <w:tcW w:w="1277" w:type="dxa"/>
            <w:tcBorders>
              <w:top w:val="single" w:color="000000" w:sz="4" w:space="0"/>
              <w:left w:val="single" w:color="000000" w:sz="4" w:space="0"/>
              <w:bottom w:val="single" w:color="000000" w:sz="4" w:space="0"/>
              <w:right w:val="single" w:color="000000" w:sz="4" w:space="0"/>
            </w:tcBorders>
          </w:tcPr>
          <w:p w14:paraId="6B0E0D0D">
            <w:pPr>
              <w:widowControl w:val="0"/>
              <w:spacing w:line="288" w:lineRule="auto"/>
              <w:contextualSpacing/>
              <w:jc w:val="both"/>
              <w:rPr>
                <w:rFonts w:eastAsia="Arial"/>
                <w:color w:val="000000"/>
                <w:sz w:val="24"/>
                <w:szCs w:val="24"/>
              </w:rPr>
            </w:pPr>
          </w:p>
        </w:tc>
        <w:tc>
          <w:tcPr>
            <w:tcW w:w="1134" w:type="dxa"/>
            <w:tcBorders>
              <w:top w:val="single" w:color="000000" w:sz="4" w:space="0"/>
              <w:left w:val="single" w:color="000000" w:sz="4" w:space="0"/>
              <w:bottom w:val="single" w:color="000000" w:sz="4" w:space="0"/>
              <w:right w:val="single" w:color="000000" w:sz="4" w:space="0"/>
            </w:tcBorders>
          </w:tcPr>
          <w:p w14:paraId="1517AB2E">
            <w:pPr>
              <w:widowControl w:val="0"/>
              <w:spacing w:line="288" w:lineRule="auto"/>
              <w:contextualSpacing/>
              <w:jc w:val="both"/>
              <w:rPr>
                <w:rFonts w:eastAsia="Arial"/>
                <w:color w:val="000000"/>
                <w:sz w:val="24"/>
                <w:szCs w:val="24"/>
              </w:rPr>
            </w:pPr>
          </w:p>
        </w:tc>
        <w:tc>
          <w:tcPr>
            <w:tcW w:w="1709" w:type="dxa"/>
            <w:tcBorders>
              <w:top w:val="single" w:color="000000" w:sz="4" w:space="0"/>
              <w:left w:val="single" w:color="000000" w:sz="4" w:space="0"/>
              <w:bottom w:val="single" w:color="000000" w:sz="4" w:space="0"/>
              <w:right w:val="single" w:color="000000" w:sz="4" w:space="0"/>
            </w:tcBorders>
          </w:tcPr>
          <w:p w14:paraId="480EB623">
            <w:pPr>
              <w:widowControl w:val="0"/>
              <w:spacing w:line="288" w:lineRule="auto"/>
              <w:contextualSpacing/>
              <w:jc w:val="both"/>
              <w:rPr>
                <w:rFonts w:eastAsia="Arial"/>
                <w:color w:val="000000"/>
                <w:sz w:val="24"/>
                <w:szCs w:val="24"/>
              </w:rPr>
            </w:pPr>
          </w:p>
        </w:tc>
        <w:tc>
          <w:tcPr>
            <w:tcW w:w="1279" w:type="dxa"/>
            <w:tcBorders>
              <w:top w:val="single" w:color="000000" w:sz="4" w:space="0"/>
              <w:left w:val="single" w:color="000000" w:sz="4" w:space="0"/>
              <w:bottom w:val="single" w:color="000000" w:sz="4" w:space="0"/>
              <w:right w:val="single" w:color="000000" w:sz="4" w:space="0"/>
            </w:tcBorders>
          </w:tcPr>
          <w:p w14:paraId="776E3FEB">
            <w:pPr>
              <w:widowControl w:val="0"/>
              <w:spacing w:line="288" w:lineRule="auto"/>
              <w:contextualSpacing/>
              <w:jc w:val="both"/>
              <w:rPr>
                <w:rFonts w:eastAsia="Arial"/>
                <w:color w:val="000000"/>
                <w:sz w:val="24"/>
                <w:szCs w:val="24"/>
              </w:rPr>
            </w:pPr>
          </w:p>
        </w:tc>
        <w:tc>
          <w:tcPr>
            <w:tcW w:w="989" w:type="dxa"/>
            <w:tcBorders>
              <w:top w:val="single" w:color="000000" w:sz="4" w:space="0"/>
              <w:left w:val="single" w:color="000000" w:sz="4" w:space="0"/>
              <w:bottom w:val="single" w:color="000000" w:sz="4" w:space="0"/>
              <w:right w:val="single" w:color="000000" w:sz="4" w:space="0"/>
            </w:tcBorders>
          </w:tcPr>
          <w:p w14:paraId="5B970717">
            <w:pPr>
              <w:widowControl w:val="0"/>
              <w:spacing w:line="288" w:lineRule="auto"/>
              <w:contextualSpacing/>
              <w:jc w:val="both"/>
              <w:rPr>
                <w:rFonts w:eastAsia="Arial"/>
                <w:color w:val="000000"/>
                <w:sz w:val="24"/>
                <w:szCs w:val="24"/>
              </w:rPr>
            </w:pPr>
          </w:p>
        </w:tc>
      </w:tr>
      <w:tr w14:paraId="56305809">
        <w:tblPrEx>
          <w:tblCellMar>
            <w:top w:w="0" w:type="dxa"/>
            <w:left w:w="108" w:type="dxa"/>
            <w:bottom w:w="0" w:type="dxa"/>
            <w:right w:w="108" w:type="dxa"/>
          </w:tblCellMar>
        </w:tblPrEx>
        <w:tc>
          <w:tcPr>
            <w:tcW w:w="1021" w:type="dxa"/>
            <w:tcBorders>
              <w:top w:val="single" w:color="000000" w:sz="4" w:space="0"/>
              <w:left w:val="single" w:color="000000" w:sz="4" w:space="0"/>
              <w:bottom w:val="single" w:color="000000" w:sz="4" w:space="0"/>
              <w:right w:val="single" w:color="000000" w:sz="4" w:space="0"/>
            </w:tcBorders>
          </w:tcPr>
          <w:p w14:paraId="01434598">
            <w:pPr>
              <w:widowControl w:val="0"/>
              <w:spacing w:line="288" w:lineRule="auto"/>
              <w:contextualSpacing/>
              <w:jc w:val="both"/>
              <w:rPr>
                <w:rFonts w:eastAsia="Arial"/>
                <w:b/>
                <w:bCs/>
                <w:color w:val="000000"/>
                <w:sz w:val="24"/>
                <w:szCs w:val="24"/>
              </w:rPr>
            </w:pPr>
            <w:r>
              <w:rPr>
                <w:rFonts w:eastAsia="Arial"/>
                <w:b/>
                <w:bCs/>
                <w:color w:val="000000"/>
                <w:sz w:val="24"/>
                <w:szCs w:val="24"/>
              </w:rPr>
              <w:t>3</w:t>
            </w:r>
          </w:p>
        </w:tc>
        <w:tc>
          <w:tcPr>
            <w:tcW w:w="2240" w:type="dxa"/>
            <w:tcBorders>
              <w:top w:val="single" w:color="000000" w:sz="4" w:space="0"/>
              <w:left w:val="single" w:color="000000" w:sz="4" w:space="0"/>
              <w:bottom w:val="single" w:color="000000" w:sz="4" w:space="0"/>
              <w:right w:val="single" w:color="000000" w:sz="4" w:space="0"/>
            </w:tcBorders>
          </w:tcPr>
          <w:p w14:paraId="0CD18DA5">
            <w:pPr>
              <w:widowControl w:val="0"/>
              <w:spacing w:line="288" w:lineRule="auto"/>
              <w:contextualSpacing/>
              <w:jc w:val="both"/>
              <w:rPr>
                <w:rFonts w:eastAsia="Arial"/>
                <w:color w:val="000000"/>
                <w:sz w:val="24"/>
                <w:szCs w:val="24"/>
              </w:rPr>
            </w:pPr>
          </w:p>
        </w:tc>
        <w:tc>
          <w:tcPr>
            <w:tcW w:w="1277" w:type="dxa"/>
            <w:tcBorders>
              <w:top w:val="single" w:color="000000" w:sz="4" w:space="0"/>
              <w:left w:val="single" w:color="000000" w:sz="4" w:space="0"/>
              <w:bottom w:val="single" w:color="000000" w:sz="4" w:space="0"/>
              <w:right w:val="single" w:color="000000" w:sz="4" w:space="0"/>
            </w:tcBorders>
          </w:tcPr>
          <w:p w14:paraId="5E33B9F9">
            <w:pPr>
              <w:widowControl w:val="0"/>
              <w:spacing w:line="288" w:lineRule="auto"/>
              <w:contextualSpacing/>
              <w:jc w:val="both"/>
              <w:rPr>
                <w:rFonts w:eastAsia="Arial"/>
                <w:color w:val="000000"/>
                <w:sz w:val="24"/>
                <w:szCs w:val="24"/>
              </w:rPr>
            </w:pPr>
          </w:p>
        </w:tc>
        <w:tc>
          <w:tcPr>
            <w:tcW w:w="1134" w:type="dxa"/>
            <w:tcBorders>
              <w:top w:val="single" w:color="000000" w:sz="4" w:space="0"/>
              <w:left w:val="single" w:color="000000" w:sz="4" w:space="0"/>
              <w:bottom w:val="single" w:color="000000" w:sz="4" w:space="0"/>
              <w:right w:val="single" w:color="000000" w:sz="4" w:space="0"/>
            </w:tcBorders>
          </w:tcPr>
          <w:p w14:paraId="0172724B">
            <w:pPr>
              <w:widowControl w:val="0"/>
              <w:spacing w:line="288" w:lineRule="auto"/>
              <w:contextualSpacing/>
              <w:jc w:val="both"/>
              <w:rPr>
                <w:rFonts w:eastAsia="Arial"/>
                <w:color w:val="000000"/>
                <w:sz w:val="24"/>
                <w:szCs w:val="24"/>
              </w:rPr>
            </w:pPr>
          </w:p>
        </w:tc>
        <w:tc>
          <w:tcPr>
            <w:tcW w:w="1709" w:type="dxa"/>
            <w:tcBorders>
              <w:top w:val="single" w:color="000000" w:sz="4" w:space="0"/>
              <w:left w:val="single" w:color="000000" w:sz="4" w:space="0"/>
              <w:bottom w:val="single" w:color="000000" w:sz="4" w:space="0"/>
              <w:right w:val="single" w:color="000000" w:sz="4" w:space="0"/>
            </w:tcBorders>
          </w:tcPr>
          <w:p w14:paraId="1E976789">
            <w:pPr>
              <w:widowControl w:val="0"/>
              <w:spacing w:line="288" w:lineRule="auto"/>
              <w:contextualSpacing/>
              <w:jc w:val="both"/>
              <w:rPr>
                <w:rFonts w:eastAsia="Arial"/>
                <w:color w:val="000000"/>
                <w:sz w:val="24"/>
                <w:szCs w:val="24"/>
              </w:rPr>
            </w:pPr>
          </w:p>
        </w:tc>
        <w:tc>
          <w:tcPr>
            <w:tcW w:w="1279" w:type="dxa"/>
            <w:tcBorders>
              <w:top w:val="single" w:color="000000" w:sz="4" w:space="0"/>
              <w:left w:val="single" w:color="000000" w:sz="4" w:space="0"/>
              <w:bottom w:val="single" w:color="000000" w:sz="4" w:space="0"/>
              <w:right w:val="single" w:color="000000" w:sz="4" w:space="0"/>
            </w:tcBorders>
          </w:tcPr>
          <w:p w14:paraId="316BC6C4">
            <w:pPr>
              <w:widowControl w:val="0"/>
              <w:spacing w:line="288" w:lineRule="auto"/>
              <w:contextualSpacing/>
              <w:jc w:val="both"/>
              <w:rPr>
                <w:rFonts w:eastAsia="Arial"/>
                <w:color w:val="000000"/>
                <w:sz w:val="24"/>
                <w:szCs w:val="24"/>
              </w:rPr>
            </w:pPr>
          </w:p>
        </w:tc>
        <w:tc>
          <w:tcPr>
            <w:tcW w:w="989" w:type="dxa"/>
            <w:tcBorders>
              <w:top w:val="single" w:color="000000" w:sz="4" w:space="0"/>
              <w:left w:val="single" w:color="000000" w:sz="4" w:space="0"/>
              <w:bottom w:val="single" w:color="000000" w:sz="4" w:space="0"/>
              <w:right w:val="single" w:color="000000" w:sz="4" w:space="0"/>
            </w:tcBorders>
          </w:tcPr>
          <w:p w14:paraId="0EB523F0">
            <w:pPr>
              <w:widowControl w:val="0"/>
              <w:spacing w:line="288" w:lineRule="auto"/>
              <w:contextualSpacing/>
              <w:jc w:val="both"/>
              <w:rPr>
                <w:rFonts w:eastAsia="Arial"/>
                <w:color w:val="000000"/>
                <w:sz w:val="24"/>
                <w:szCs w:val="24"/>
              </w:rPr>
            </w:pPr>
          </w:p>
        </w:tc>
      </w:tr>
      <w:tr w14:paraId="06CDE73E">
        <w:tblPrEx>
          <w:tblCellMar>
            <w:top w:w="0" w:type="dxa"/>
            <w:left w:w="108" w:type="dxa"/>
            <w:bottom w:w="0" w:type="dxa"/>
            <w:right w:w="108" w:type="dxa"/>
          </w:tblCellMar>
        </w:tblPrEx>
        <w:tc>
          <w:tcPr>
            <w:tcW w:w="1021" w:type="dxa"/>
            <w:tcBorders>
              <w:top w:val="single" w:color="000000" w:sz="4" w:space="0"/>
              <w:left w:val="single" w:color="000000" w:sz="4" w:space="0"/>
              <w:bottom w:val="single" w:color="000000" w:sz="4" w:space="0"/>
              <w:right w:val="single" w:color="000000" w:sz="4" w:space="0"/>
            </w:tcBorders>
          </w:tcPr>
          <w:p w14:paraId="17AE290D">
            <w:pPr>
              <w:widowControl w:val="0"/>
              <w:spacing w:line="288" w:lineRule="auto"/>
              <w:contextualSpacing/>
              <w:jc w:val="both"/>
              <w:rPr>
                <w:rFonts w:eastAsia="Arial"/>
                <w:b/>
                <w:bCs/>
                <w:color w:val="000000"/>
                <w:sz w:val="24"/>
                <w:szCs w:val="24"/>
              </w:rPr>
            </w:pPr>
            <w:r>
              <w:rPr>
                <w:rFonts w:eastAsia="Arial"/>
                <w:b/>
                <w:bCs/>
                <w:color w:val="000000"/>
                <w:sz w:val="24"/>
                <w:szCs w:val="24"/>
              </w:rPr>
              <w:t>...</w:t>
            </w:r>
          </w:p>
        </w:tc>
        <w:tc>
          <w:tcPr>
            <w:tcW w:w="2240" w:type="dxa"/>
            <w:tcBorders>
              <w:top w:val="single" w:color="000000" w:sz="4" w:space="0"/>
              <w:left w:val="single" w:color="000000" w:sz="4" w:space="0"/>
              <w:bottom w:val="single" w:color="000000" w:sz="4" w:space="0"/>
              <w:right w:val="single" w:color="000000" w:sz="4" w:space="0"/>
            </w:tcBorders>
          </w:tcPr>
          <w:p w14:paraId="0F69965E">
            <w:pPr>
              <w:widowControl w:val="0"/>
              <w:spacing w:line="288" w:lineRule="auto"/>
              <w:contextualSpacing/>
              <w:jc w:val="both"/>
              <w:rPr>
                <w:rFonts w:eastAsia="Arial"/>
                <w:sz w:val="24"/>
                <w:szCs w:val="24"/>
              </w:rPr>
            </w:pPr>
          </w:p>
        </w:tc>
        <w:tc>
          <w:tcPr>
            <w:tcW w:w="1277" w:type="dxa"/>
            <w:tcBorders>
              <w:top w:val="single" w:color="000000" w:sz="4" w:space="0"/>
              <w:left w:val="single" w:color="000000" w:sz="4" w:space="0"/>
              <w:bottom w:val="single" w:color="000000" w:sz="4" w:space="0"/>
              <w:right w:val="single" w:color="000000" w:sz="4" w:space="0"/>
            </w:tcBorders>
          </w:tcPr>
          <w:p w14:paraId="60BA41EE">
            <w:pPr>
              <w:widowControl w:val="0"/>
              <w:spacing w:line="288" w:lineRule="auto"/>
              <w:contextualSpacing/>
              <w:jc w:val="both"/>
              <w:rPr>
                <w:rFonts w:eastAsia="Arial"/>
                <w:color w:val="000000"/>
                <w:sz w:val="24"/>
                <w:szCs w:val="24"/>
              </w:rPr>
            </w:pPr>
          </w:p>
        </w:tc>
        <w:tc>
          <w:tcPr>
            <w:tcW w:w="1134" w:type="dxa"/>
            <w:tcBorders>
              <w:top w:val="single" w:color="000000" w:sz="4" w:space="0"/>
              <w:left w:val="single" w:color="000000" w:sz="4" w:space="0"/>
              <w:bottom w:val="single" w:color="000000" w:sz="4" w:space="0"/>
              <w:right w:val="single" w:color="000000" w:sz="4" w:space="0"/>
            </w:tcBorders>
          </w:tcPr>
          <w:p w14:paraId="648020A0">
            <w:pPr>
              <w:widowControl w:val="0"/>
              <w:spacing w:line="288" w:lineRule="auto"/>
              <w:contextualSpacing/>
              <w:jc w:val="both"/>
              <w:rPr>
                <w:rFonts w:eastAsia="Arial"/>
                <w:color w:val="000000"/>
                <w:sz w:val="24"/>
                <w:szCs w:val="24"/>
              </w:rPr>
            </w:pPr>
          </w:p>
        </w:tc>
        <w:tc>
          <w:tcPr>
            <w:tcW w:w="1709" w:type="dxa"/>
            <w:tcBorders>
              <w:top w:val="single" w:color="000000" w:sz="4" w:space="0"/>
              <w:left w:val="single" w:color="000000" w:sz="4" w:space="0"/>
              <w:bottom w:val="single" w:color="000000" w:sz="4" w:space="0"/>
              <w:right w:val="single" w:color="000000" w:sz="4" w:space="0"/>
            </w:tcBorders>
          </w:tcPr>
          <w:p w14:paraId="227079D0">
            <w:pPr>
              <w:widowControl w:val="0"/>
              <w:spacing w:line="288" w:lineRule="auto"/>
              <w:contextualSpacing/>
              <w:jc w:val="both"/>
              <w:rPr>
                <w:rFonts w:eastAsia="Arial"/>
                <w:color w:val="000000"/>
                <w:sz w:val="24"/>
                <w:szCs w:val="24"/>
              </w:rPr>
            </w:pPr>
          </w:p>
        </w:tc>
        <w:tc>
          <w:tcPr>
            <w:tcW w:w="1279" w:type="dxa"/>
            <w:tcBorders>
              <w:top w:val="single" w:color="000000" w:sz="4" w:space="0"/>
              <w:left w:val="single" w:color="000000" w:sz="4" w:space="0"/>
              <w:bottom w:val="single" w:color="000000" w:sz="4" w:space="0"/>
              <w:right w:val="single" w:color="000000" w:sz="4" w:space="0"/>
            </w:tcBorders>
          </w:tcPr>
          <w:p w14:paraId="4FFDD250">
            <w:pPr>
              <w:widowControl w:val="0"/>
              <w:spacing w:line="288" w:lineRule="auto"/>
              <w:contextualSpacing/>
              <w:jc w:val="both"/>
              <w:rPr>
                <w:rFonts w:eastAsia="Arial"/>
                <w:color w:val="000000"/>
                <w:sz w:val="24"/>
                <w:szCs w:val="24"/>
              </w:rPr>
            </w:pPr>
          </w:p>
        </w:tc>
        <w:tc>
          <w:tcPr>
            <w:tcW w:w="989" w:type="dxa"/>
            <w:tcBorders>
              <w:top w:val="single" w:color="000000" w:sz="4" w:space="0"/>
              <w:left w:val="single" w:color="000000" w:sz="4" w:space="0"/>
              <w:bottom w:val="single" w:color="000000" w:sz="4" w:space="0"/>
              <w:right w:val="single" w:color="000000" w:sz="4" w:space="0"/>
            </w:tcBorders>
          </w:tcPr>
          <w:p w14:paraId="577A3847">
            <w:pPr>
              <w:widowControl w:val="0"/>
              <w:spacing w:line="288" w:lineRule="auto"/>
              <w:contextualSpacing/>
              <w:jc w:val="both"/>
              <w:rPr>
                <w:rFonts w:eastAsia="Arial"/>
                <w:color w:val="000000"/>
                <w:sz w:val="24"/>
                <w:szCs w:val="24"/>
              </w:rPr>
            </w:pPr>
          </w:p>
        </w:tc>
      </w:tr>
    </w:tbl>
    <w:p w14:paraId="242CFB22">
      <w:pPr>
        <w:autoSpaceDE w:val="0"/>
        <w:spacing w:line="288" w:lineRule="auto"/>
        <w:contextualSpacing/>
        <w:jc w:val="both"/>
        <w:rPr>
          <w:sz w:val="24"/>
          <w:szCs w:val="24"/>
          <w:lang w:val="zh-CN"/>
        </w:rPr>
      </w:pPr>
      <w:r>
        <w:rPr>
          <w:sz w:val="24"/>
          <w:szCs w:val="24"/>
          <w:lang w:val="zh-CN"/>
        </w:rPr>
        <w:tab/>
      </w:r>
    </w:p>
    <w:p w14:paraId="6CAB175F">
      <w:pPr>
        <w:pStyle w:val="99"/>
        <w:tabs>
          <w:tab w:val="left" w:pos="1620"/>
        </w:tabs>
        <w:spacing w:before="0" w:after="0" w:line="288" w:lineRule="auto"/>
        <w:ind w:left="0" w:firstLine="0"/>
        <w:contextualSpacing/>
        <w:rPr>
          <w:rFonts w:ascii="Times New Roman" w:hAnsi="Times New Roman" w:cs="Times New Roman"/>
          <w:sz w:val="24"/>
          <w:szCs w:val="24"/>
          <w:lang w:val="zh-CN"/>
        </w:rPr>
      </w:pPr>
      <w:r>
        <w:rPr>
          <w:rFonts w:ascii="Times New Roman" w:hAnsi="Times New Roman" w:cs="Times New Roman"/>
          <w:sz w:val="24"/>
          <w:szCs w:val="24"/>
        </w:rPr>
        <w:t xml:space="preserve"> 1.3    São anexos a este instrumento e vinculam esta contratação, independentemente de transcrição:</w:t>
      </w:r>
    </w:p>
    <w:p w14:paraId="7AAC9769">
      <w:pPr>
        <w:pStyle w:val="99"/>
        <w:spacing w:before="0" w:after="0" w:line="288" w:lineRule="auto"/>
        <w:ind w:left="0" w:firstLine="0"/>
        <w:contextualSpacing/>
        <w:rPr>
          <w:rFonts w:ascii="Times New Roman" w:hAnsi="Times New Roman" w:cs="Times New Roman"/>
          <w:sz w:val="24"/>
          <w:szCs w:val="24"/>
          <w:lang w:val="zh-CN"/>
        </w:rPr>
      </w:pPr>
    </w:p>
    <w:p w14:paraId="4A3999BF">
      <w:pPr>
        <w:pStyle w:val="103"/>
        <w:spacing w:before="0" w:after="0" w:line="288" w:lineRule="auto"/>
        <w:ind w:left="0" w:firstLine="0"/>
        <w:contextualSpacing/>
        <w:rPr>
          <w:rFonts w:ascii="Times New Roman" w:hAnsi="Times New Roman" w:cs="Times New Roman"/>
          <w:color w:val="auto"/>
          <w:sz w:val="24"/>
          <w:szCs w:val="24"/>
          <w:lang w:val="zh-CN"/>
        </w:rPr>
      </w:pPr>
      <w:r>
        <w:rPr>
          <w:rFonts w:ascii="Times New Roman" w:hAnsi="Times New Roman" w:cs="Times New Roman"/>
          <w:color w:val="auto"/>
          <w:sz w:val="24"/>
          <w:szCs w:val="24"/>
        </w:rPr>
        <w:t>1.3.1 O Termo de Referência que embasou a contratação;</w:t>
      </w:r>
    </w:p>
    <w:p w14:paraId="1ECBFEF1">
      <w:pPr>
        <w:pStyle w:val="103"/>
        <w:spacing w:before="0" w:after="0" w:line="288" w:lineRule="auto"/>
        <w:ind w:left="0" w:firstLine="0"/>
        <w:contextualSpacing/>
        <w:rPr>
          <w:rFonts w:ascii="Times New Roman" w:hAnsi="Times New Roman" w:cs="Times New Roman"/>
          <w:color w:val="auto"/>
          <w:sz w:val="24"/>
          <w:szCs w:val="24"/>
          <w:lang w:val="zh-CN"/>
        </w:rPr>
      </w:pPr>
    </w:p>
    <w:p w14:paraId="13003321">
      <w:pPr>
        <w:pStyle w:val="103"/>
        <w:spacing w:before="0" w:after="0" w:line="288" w:lineRule="auto"/>
        <w:ind w:left="0" w:firstLine="0"/>
        <w:contextualSpacing/>
        <w:rPr>
          <w:rFonts w:ascii="Times New Roman" w:hAnsi="Times New Roman" w:cs="Times New Roman"/>
          <w:color w:val="auto"/>
          <w:sz w:val="24"/>
          <w:szCs w:val="24"/>
          <w:lang w:val="zh-CN"/>
        </w:rPr>
      </w:pPr>
      <w:r>
        <w:rPr>
          <w:rFonts w:ascii="Times New Roman" w:hAnsi="Times New Roman" w:cs="Times New Roman"/>
          <w:sz w:val="24"/>
          <w:szCs w:val="24"/>
        </w:rPr>
        <w:t>1.3.2 O instrumento convocatório, assim considerado o Edital de Licitação ou o Aviso de Contratação Direta, conforme o caso</w:t>
      </w:r>
      <w:r>
        <w:rPr>
          <w:rFonts w:ascii="Times New Roman" w:hAnsi="Times New Roman" w:cs="Times New Roman"/>
          <w:color w:val="auto"/>
          <w:sz w:val="24"/>
          <w:szCs w:val="24"/>
        </w:rPr>
        <w:t>;</w:t>
      </w:r>
    </w:p>
    <w:p w14:paraId="09B628B9">
      <w:pPr>
        <w:pStyle w:val="103"/>
        <w:spacing w:before="0" w:after="0" w:line="288" w:lineRule="auto"/>
        <w:ind w:left="0" w:firstLine="0"/>
        <w:contextualSpacing/>
        <w:rPr>
          <w:rFonts w:ascii="Times New Roman" w:hAnsi="Times New Roman" w:cs="Times New Roman"/>
          <w:color w:val="auto"/>
          <w:sz w:val="24"/>
          <w:szCs w:val="24"/>
          <w:lang w:val="zh-CN"/>
        </w:rPr>
      </w:pPr>
    </w:p>
    <w:p w14:paraId="2C44E95F">
      <w:pPr>
        <w:pStyle w:val="103"/>
        <w:spacing w:before="0" w:after="0" w:line="288" w:lineRule="auto"/>
        <w:ind w:left="0" w:firstLine="0"/>
        <w:contextualSpacing/>
        <w:rPr>
          <w:rFonts w:ascii="Times New Roman" w:hAnsi="Times New Roman" w:cs="Times New Roman"/>
          <w:color w:val="auto"/>
          <w:sz w:val="24"/>
          <w:szCs w:val="24"/>
          <w:lang w:val="zh-CN"/>
        </w:rPr>
      </w:pPr>
      <w:r>
        <w:rPr>
          <w:rFonts w:ascii="Times New Roman" w:hAnsi="Times New Roman" w:cs="Times New Roman"/>
          <w:color w:val="auto"/>
          <w:sz w:val="24"/>
          <w:szCs w:val="24"/>
        </w:rPr>
        <w:t xml:space="preserve">1.3.3 A Proposta do </w:t>
      </w:r>
      <w:r>
        <w:rPr>
          <w:rFonts w:ascii="Times New Roman" w:hAnsi="Times New Roman" w:eastAsia="Arial" w:cs="Times New Roman"/>
          <w:b/>
          <w:bCs/>
          <w:sz w:val="24"/>
          <w:szCs w:val="24"/>
        </w:rPr>
        <w:t>CONTRATADO</w:t>
      </w:r>
      <w:r>
        <w:rPr>
          <w:rFonts w:ascii="Times New Roman" w:hAnsi="Times New Roman" w:cs="Times New Roman"/>
          <w:color w:val="auto"/>
          <w:sz w:val="24"/>
          <w:szCs w:val="24"/>
        </w:rPr>
        <w:t xml:space="preserve">, </w:t>
      </w:r>
      <w:r>
        <w:rPr>
          <w:rFonts w:ascii="Times New Roman" w:hAnsi="Times New Roman" w:cs="Times New Roman"/>
          <w:sz w:val="24"/>
          <w:szCs w:val="24"/>
        </w:rPr>
        <w:t>que, em caso de divergência com as condições estabelecidas neste Contrato e nos demais instrumentos anexos, cederá àquelas</w:t>
      </w:r>
      <w:r>
        <w:rPr>
          <w:rFonts w:ascii="Times New Roman" w:hAnsi="Times New Roman" w:cs="Times New Roman"/>
          <w:color w:val="auto"/>
          <w:sz w:val="24"/>
          <w:szCs w:val="24"/>
        </w:rPr>
        <w:t>;</w:t>
      </w:r>
    </w:p>
    <w:p w14:paraId="6AB9A2C6">
      <w:pPr>
        <w:pStyle w:val="103"/>
        <w:spacing w:before="0" w:after="0" w:line="288" w:lineRule="auto"/>
        <w:ind w:left="0" w:firstLine="0"/>
        <w:contextualSpacing/>
        <w:rPr>
          <w:rFonts w:ascii="Times New Roman" w:hAnsi="Times New Roman" w:cs="Times New Roman"/>
          <w:color w:val="auto"/>
          <w:sz w:val="24"/>
          <w:szCs w:val="24"/>
          <w:lang w:val="zh-CN"/>
        </w:rPr>
      </w:pPr>
    </w:p>
    <w:p w14:paraId="6EA667C9">
      <w:pPr>
        <w:pStyle w:val="103"/>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color w:val="auto"/>
          <w:sz w:val="24"/>
          <w:szCs w:val="24"/>
        </w:rPr>
        <w:t xml:space="preserve">1.3.4 Eventuais </w:t>
      </w:r>
      <w:r>
        <w:rPr>
          <w:rFonts w:ascii="Times New Roman" w:hAnsi="Times New Roman" w:cs="Times New Roman"/>
          <w:sz w:val="24"/>
          <w:szCs w:val="24"/>
        </w:rPr>
        <w:t>anexos dos documentos supracitados.</w:t>
      </w:r>
    </w:p>
    <w:p w14:paraId="00E86C68">
      <w:pPr>
        <w:pStyle w:val="103"/>
        <w:spacing w:before="0" w:after="0" w:line="288" w:lineRule="auto"/>
        <w:ind w:left="0" w:firstLine="0"/>
        <w:contextualSpacing/>
        <w:rPr>
          <w:rFonts w:ascii="Times New Roman" w:hAnsi="Times New Roman" w:cs="Times New Roman"/>
          <w:sz w:val="24"/>
          <w:szCs w:val="24"/>
          <w:lang w:val="zh-CN"/>
        </w:rPr>
      </w:pPr>
    </w:p>
    <w:p w14:paraId="6F9371EC">
      <w:pPr>
        <w:spacing w:line="288" w:lineRule="auto"/>
        <w:contextualSpacing/>
        <w:jc w:val="both"/>
        <w:rPr>
          <w:sz w:val="24"/>
          <w:szCs w:val="24"/>
        </w:rPr>
      </w:pPr>
      <w:r>
        <w:rPr>
          <w:sz w:val="24"/>
          <w:szCs w:val="24"/>
        </w:rPr>
        <w:t>1.4 Havendo qualquer divergência entre as disposições deste instrumento e dos seus Anexos, como o Termo de Referência, prevalecerá o disposto no presente Contrato.</w:t>
      </w:r>
    </w:p>
    <w:p w14:paraId="06866805">
      <w:pPr>
        <w:spacing w:line="288" w:lineRule="auto"/>
        <w:contextualSpacing/>
        <w:jc w:val="both"/>
        <w:rPr>
          <w:sz w:val="24"/>
          <w:szCs w:val="24"/>
        </w:rPr>
      </w:pPr>
    </w:p>
    <w:p w14:paraId="6D513B71">
      <w:pPr>
        <w:pStyle w:val="107"/>
        <w:numPr>
          <w:ilvl w:val="0"/>
          <w:numId w:val="0"/>
        </w:numPr>
        <w:spacing w:before="0" w:after="0" w:line="288" w:lineRule="auto"/>
        <w:contextualSpacing/>
        <w:rPr>
          <w:rFonts w:ascii="Times New Roman" w:hAnsi="Times New Roman" w:cs="Times New Roman"/>
          <w:color w:val="auto"/>
          <w:sz w:val="24"/>
          <w:szCs w:val="24"/>
        </w:rPr>
      </w:pPr>
      <w:r>
        <w:rPr>
          <w:rFonts w:ascii="Times New Roman" w:hAnsi="Times New Roman" w:cs="Times New Roman"/>
          <w:color w:val="auto"/>
          <w:sz w:val="24"/>
          <w:szCs w:val="24"/>
        </w:rPr>
        <w:t>CLÁUSULA SEGUNDA – VIGÊNCIA E PRORROGAÇÃO</w:t>
      </w:r>
    </w:p>
    <w:p w14:paraId="60623DA8">
      <w:pPr>
        <w:spacing w:line="288" w:lineRule="auto"/>
        <w:contextualSpacing/>
        <w:jc w:val="both"/>
        <w:rPr>
          <w:sz w:val="24"/>
          <w:szCs w:val="24"/>
        </w:rPr>
      </w:pPr>
    </w:p>
    <w:p w14:paraId="33E44D8B">
      <w:pPr>
        <w:tabs>
          <w:tab w:val="left" w:pos="7938"/>
        </w:tabs>
        <w:spacing w:line="288" w:lineRule="auto"/>
        <w:ind w:right="849"/>
        <w:contextualSpacing/>
        <w:jc w:val="both"/>
        <w:rPr>
          <w:bCs/>
          <w:color w:val="000000" w:themeColor="text1"/>
          <w:sz w:val="24"/>
          <w:szCs w:val="24"/>
          <w14:textFill>
            <w14:solidFill>
              <w14:schemeClr w14:val="tx1"/>
            </w14:solidFill>
          </w14:textFill>
        </w:rPr>
      </w:pPr>
      <w:r>
        <w:rPr>
          <w:bCs/>
          <w:color w:val="000000" w:themeColor="text1"/>
          <w:sz w:val="24"/>
          <w:szCs w:val="24"/>
          <w14:textFill>
            <w14:solidFill>
              <w14:schemeClr w14:val="tx1"/>
            </w14:solidFill>
          </w14:textFill>
        </w:rPr>
        <w:t>2.1 O prazo de vigência do Contrato é de ..........</w:t>
      </w:r>
      <w:r>
        <w:rPr>
          <w:rFonts w:eastAsia="Arial"/>
          <w:color w:val="000000" w:themeColor="text1"/>
          <w:sz w:val="24"/>
          <w:szCs w:val="24"/>
          <w14:textFill>
            <w14:solidFill>
              <w14:schemeClr w14:val="tx1"/>
            </w14:solidFill>
          </w14:textFill>
        </w:rPr>
        <w:t xml:space="preserve"> (dias/meses/anos), contado da expedição da </w:t>
      </w:r>
      <w:r>
        <w:rPr>
          <w:color w:val="000000" w:themeColor="text1"/>
          <w:sz w:val="24"/>
          <w:szCs w:val="24"/>
          <w14:textFill>
            <w14:solidFill>
              <w14:schemeClr w14:val="tx1"/>
            </w14:solidFill>
          </w14:textFill>
        </w:rPr>
        <w:t>Autorização de Fornecimento</w:t>
      </w:r>
      <w:r>
        <w:rPr>
          <w:rFonts w:eastAsia="Arial"/>
          <w:color w:val="000000" w:themeColor="text1"/>
          <w:sz w:val="24"/>
          <w:szCs w:val="24"/>
          <w14:textFill>
            <w14:solidFill>
              <w14:schemeClr w14:val="tx1"/>
            </w14:solidFill>
          </w14:textFill>
        </w:rPr>
        <w:t>, desde que previamente divulgado no Portal Nacional de Contratações Públicas.</w:t>
      </w:r>
      <w:r>
        <w:rPr>
          <w:bCs/>
          <w:color w:val="000000" w:themeColor="text1"/>
          <w:sz w:val="24"/>
          <w:szCs w:val="24"/>
          <w14:textFill>
            <w14:solidFill>
              <w14:schemeClr w14:val="tx1"/>
            </w14:solidFill>
          </w14:textFill>
        </w:rPr>
        <w:t xml:space="preserve"> </w:t>
      </w:r>
    </w:p>
    <w:p w14:paraId="587F9C78">
      <w:pPr>
        <w:spacing w:line="288" w:lineRule="auto"/>
        <w:ind w:left="567" w:right="565"/>
        <w:contextualSpacing/>
        <w:jc w:val="both"/>
        <w:rPr>
          <w:color w:val="000000" w:themeColor="text1"/>
          <w:sz w:val="24"/>
          <w:szCs w:val="24"/>
          <w14:textFill>
            <w14:solidFill>
              <w14:schemeClr w14:val="tx1"/>
            </w14:solidFill>
          </w14:textFill>
        </w:rPr>
      </w:pPr>
    </w:p>
    <w:p w14:paraId="32A292AB">
      <w:pPr>
        <w:spacing w:line="288" w:lineRule="auto"/>
        <w:ind w:right="565"/>
        <w:contextualSpacing/>
        <w:jc w:val="both"/>
        <w:rPr>
          <w:rFonts w:eastAsia="Arial"/>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2.2 O prazo de vigência do Contrato poderá</w:t>
      </w:r>
      <w:r>
        <w:rPr>
          <w:rFonts w:eastAsia="Arial"/>
          <w:color w:val="000000" w:themeColor="text1"/>
          <w:sz w:val="24"/>
          <w:szCs w:val="24"/>
          <w14:textFill>
            <w14:solidFill>
              <w14:schemeClr w14:val="tx1"/>
            </w14:solidFill>
          </w14:textFill>
        </w:rPr>
        <w:t xml:space="preserve"> ser prorrogado, sucessivamente, até o máximo de 10 (dez) anos, na forma dos artigos 106 e 107 da </w:t>
      </w:r>
      <w:r>
        <w:fldChar w:fldCharType="begin"/>
      </w:r>
      <w:r>
        <w:instrText xml:space="preserve"> HYPERLINK "http://www.planalto.gov.br/ccivil_03/_ato2019-2022/2021/lei/L14133.htm" </w:instrText>
      </w:r>
      <w:r>
        <w:fldChar w:fldCharType="separate"/>
      </w:r>
      <w:r>
        <w:rPr>
          <w:rStyle w:val="16"/>
          <w:rFonts w:eastAsia="Arial"/>
          <w:color w:val="000000" w:themeColor="text1"/>
          <w:sz w:val="24"/>
          <w:szCs w:val="24"/>
          <w14:textFill>
            <w14:solidFill>
              <w14:schemeClr w14:val="tx1"/>
            </w14:solidFill>
          </w14:textFill>
        </w:rPr>
        <w:t>Lei nº 14.133/2021</w:t>
      </w:r>
      <w:r>
        <w:rPr>
          <w:rStyle w:val="16"/>
          <w:rFonts w:eastAsia="Arial"/>
          <w:color w:val="000000" w:themeColor="text1"/>
          <w:sz w:val="24"/>
          <w:szCs w:val="24"/>
          <w14:textFill>
            <w14:solidFill>
              <w14:schemeClr w14:val="tx1"/>
            </w14:solidFill>
          </w14:textFill>
        </w:rPr>
        <w:fldChar w:fldCharType="end"/>
      </w:r>
      <w:r>
        <w:rPr>
          <w:rFonts w:eastAsia="Arial"/>
          <w:color w:val="000000" w:themeColor="text1"/>
          <w:sz w:val="24"/>
          <w:szCs w:val="24"/>
          <w14:textFill>
            <w14:solidFill>
              <w14:schemeClr w14:val="tx1"/>
            </w14:solidFill>
          </w14:textFill>
        </w:rPr>
        <w:t>.</w:t>
      </w:r>
    </w:p>
    <w:p w14:paraId="21E17341">
      <w:pPr>
        <w:spacing w:line="288" w:lineRule="auto"/>
        <w:ind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xml:space="preserve">2.2.1 A prorrogação de que trata este item é condicionada ao ateste, pela autoridade competente, de que as condições e os preços permanecem vantajosos para a Administração, permitida a negociação com o </w:t>
      </w:r>
      <w:r>
        <w:rPr>
          <w:b/>
          <w:bCs/>
          <w:color w:val="000000" w:themeColor="text1"/>
          <w:sz w:val="24"/>
          <w:szCs w:val="24"/>
          <w14:textFill>
            <w14:solidFill>
              <w14:schemeClr w14:val="tx1"/>
            </w14:solidFill>
          </w14:textFill>
        </w:rPr>
        <w:t>CONTRATADO</w:t>
      </w:r>
      <w:r>
        <w:rPr>
          <w:color w:val="000000" w:themeColor="text1"/>
          <w:sz w:val="24"/>
          <w:szCs w:val="24"/>
          <w14:textFill>
            <w14:solidFill>
              <w14:schemeClr w14:val="tx1"/>
            </w14:solidFill>
          </w14:textFill>
        </w:rPr>
        <w:t>, desde que observados, ainda, os seguintes requisitos:</w:t>
      </w:r>
    </w:p>
    <w:p w14:paraId="610F42E1">
      <w:pPr>
        <w:spacing w:line="288" w:lineRule="auto"/>
        <w:ind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a) demonstração formal, no processo, de que a forma do fornecimento tem natureza continuada;</w:t>
      </w:r>
    </w:p>
    <w:p w14:paraId="21858968">
      <w:pPr>
        <w:spacing w:line="288" w:lineRule="auto"/>
        <w:ind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xml:space="preserve">b) juntada de relatório sobre a execução do Contrato, com informações de que o fornecimento tenha sido realizado regularmente;  </w:t>
      </w:r>
    </w:p>
    <w:p w14:paraId="1AF52231">
      <w:pPr>
        <w:spacing w:line="288" w:lineRule="auto"/>
        <w:ind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xml:space="preserve">c) juntada de justificativa de que a Administração mantém interesse na continuidade do fornecimento;  </w:t>
      </w:r>
    </w:p>
    <w:p w14:paraId="492D693F">
      <w:pPr>
        <w:spacing w:line="288" w:lineRule="auto"/>
        <w:ind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xml:space="preserve">d) manifestação expressa do </w:t>
      </w:r>
      <w:r>
        <w:rPr>
          <w:b/>
          <w:bCs/>
          <w:color w:val="000000" w:themeColor="text1"/>
          <w:sz w:val="24"/>
          <w:szCs w:val="24"/>
          <w14:textFill>
            <w14:solidFill>
              <w14:schemeClr w14:val="tx1"/>
            </w14:solidFill>
          </w14:textFill>
        </w:rPr>
        <w:t>CONTRATADO</w:t>
      </w:r>
      <w:r>
        <w:rPr>
          <w:color w:val="000000" w:themeColor="text1"/>
          <w:sz w:val="24"/>
          <w:szCs w:val="24"/>
          <w14:textFill>
            <w14:solidFill>
              <w14:schemeClr w14:val="tx1"/>
            </w14:solidFill>
          </w14:textFill>
        </w:rPr>
        <w:t xml:space="preserve"> informando o interesse na prorrogação; </w:t>
      </w:r>
    </w:p>
    <w:p w14:paraId="6E2B7F9C">
      <w:pPr>
        <w:spacing w:line="288" w:lineRule="auto"/>
        <w:ind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xml:space="preserve">e) comprovação de que o </w:t>
      </w:r>
      <w:r>
        <w:rPr>
          <w:b/>
          <w:bCs/>
          <w:color w:val="000000" w:themeColor="text1"/>
          <w:sz w:val="24"/>
          <w:szCs w:val="24"/>
          <w14:textFill>
            <w14:solidFill>
              <w14:schemeClr w14:val="tx1"/>
            </w14:solidFill>
          </w14:textFill>
        </w:rPr>
        <w:t>CONTRATADO</w:t>
      </w:r>
      <w:r>
        <w:rPr>
          <w:color w:val="000000" w:themeColor="text1"/>
          <w:sz w:val="24"/>
          <w:szCs w:val="24"/>
          <w14:textFill>
            <w14:solidFill>
              <w14:schemeClr w14:val="tx1"/>
            </w14:solidFill>
          </w14:textFill>
        </w:rPr>
        <w:t xml:space="preserve"> mantém as condições de habilitação; e</w:t>
      </w:r>
    </w:p>
    <w:p w14:paraId="15CB68D4">
      <w:pPr>
        <w:spacing w:line="288" w:lineRule="auto"/>
        <w:ind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f) informação quanto à existência de disponibilidade orçamentário-financeira para as despesas vindouras.</w:t>
      </w:r>
    </w:p>
    <w:p w14:paraId="378148E2">
      <w:pPr>
        <w:spacing w:line="288" w:lineRule="auto"/>
        <w:ind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xml:space="preserve">2.3 O </w:t>
      </w:r>
      <w:r>
        <w:rPr>
          <w:b/>
          <w:bCs/>
          <w:color w:val="000000" w:themeColor="text1"/>
          <w:sz w:val="24"/>
          <w:szCs w:val="24"/>
          <w14:textFill>
            <w14:solidFill>
              <w14:schemeClr w14:val="tx1"/>
            </w14:solidFill>
          </w14:textFill>
        </w:rPr>
        <w:t>CONTRATADO</w:t>
      </w:r>
      <w:r>
        <w:rPr>
          <w:color w:val="000000" w:themeColor="text1"/>
          <w:sz w:val="24"/>
          <w:szCs w:val="24"/>
          <w14:textFill>
            <w14:solidFill>
              <w14:schemeClr w14:val="tx1"/>
            </w14:solidFill>
          </w14:textFill>
        </w:rPr>
        <w:t xml:space="preserve"> não tem direito subjetivo à prorrogação do prazo de vigência contratual.</w:t>
      </w:r>
    </w:p>
    <w:p w14:paraId="75D5E4F5">
      <w:pPr>
        <w:spacing w:line="288" w:lineRule="auto"/>
        <w:ind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2.4 A prorrogação do Contrato deverá ser promovida mediante a celebração de termo aditivo.</w:t>
      </w:r>
    </w:p>
    <w:p w14:paraId="29BD898F">
      <w:pPr>
        <w:spacing w:line="288" w:lineRule="auto"/>
        <w:ind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xml:space="preserve"> 2.5 O Contrato não poderá ser prorrogado quando o </w:t>
      </w:r>
      <w:r>
        <w:rPr>
          <w:b/>
          <w:bCs/>
          <w:color w:val="000000" w:themeColor="text1"/>
          <w:sz w:val="24"/>
          <w:szCs w:val="24"/>
          <w14:textFill>
            <w14:solidFill>
              <w14:schemeClr w14:val="tx1"/>
            </w14:solidFill>
          </w14:textFill>
        </w:rPr>
        <w:t>CONTRATADO</w:t>
      </w:r>
      <w:r>
        <w:rPr>
          <w:color w:val="000000" w:themeColor="text1"/>
          <w:sz w:val="24"/>
          <w:szCs w:val="24"/>
          <w14:textFill>
            <w14:solidFill>
              <w14:schemeClr w14:val="tx1"/>
            </w14:solidFill>
          </w14:textFill>
        </w:rPr>
        <w:t xml:space="preserve"> tiver sido penalizado com as sanções de declaração de inidoneidade ou impedimento de licitar e contratar com o Poder Público, observadas as abrangências de aplicação.</w:t>
      </w:r>
    </w:p>
    <w:p w14:paraId="675304D8">
      <w:pPr>
        <w:pStyle w:val="101"/>
        <w:tabs>
          <w:tab w:val="left" w:pos="32"/>
          <w:tab w:val="clear" w:pos="567"/>
        </w:tabs>
        <w:spacing w:before="288" w:beforeLines="120" w:after="288" w:afterLines="120" w:line="288" w:lineRule="auto"/>
        <w:ind w:left="34" w:firstLine="0"/>
        <w:contextualSpacing/>
        <w:rPr>
          <w:rFonts w:ascii="Times New Roman" w:hAnsi="Times New Roman" w:cs="Times New Roman"/>
          <w:sz w:val="24"/>
          <w:szCs w:val="24"/>
        </w:rPr>
      </w:pPr>
      <w:r>
        <w:rPr>
          <w:rFonts w:ascii="Times New Roman" w:hAnsi="Times New Roman" w:cs="Times New Roman"/>
          <w:sz w:val="24"/>
          <w:szCs w:val="24"/>
        </w:rPr>
        <w:t>CLÁUSULA TERCEIRA – EXECUÇÃO, GESTÃO E FISCALIZAÇÃO CONTRATUAIS</w:t>
      </w:r>
    </w:p>
    <w:p w14:paraId="76EDC0C3">
      <w:pPr>
        <w:pStyle w:val="101"/>
        <w:tabs>
          <w:tab w:val="left" w:pos="32"/>
          <w:tab w:val="clear" w:pos="567"/>
        </w:tabs>
        <w:spacing w:before="288" w:beforeLines="120" w:after="288" w:afterLines="120" w:line="288" w:lineRule="auto"/>
        <w:ind w:left="34" w:firstLine="0"/>
        <w:contextualSpacing/>
        <w:rPr>
          <w:rFonts w:ascii="Times New Roman" w:hAnsi="Times New Roman" w:cs="Times New Roman"/>
          <w:b w:val="0"/>
          <w:bCs w:val="0"/>
          <w:sz w:val="24"/>
          <w:szCs w:val="24"/>
        </w:rPr>
      </w:pPr>
    </w:p>
    <w:p w14:paraId="1A08E111">
      <w:pPr>
        <w:pStyle w:val="101"/>
        <w:tabs>
          <w:tab w:val="left" w:pos="32"/>
          <w:tab w:val="clear" w:pos="567"/>
        </w:tabs>
        <w:spacing w:before="288" w:beforeLines="120" w:after="288" w:afterLines="120" w:line="288" w:lineRule="auto"/>
        <w:ind w:left="34" w:firstLine="0"/>
        <w:contextualSpacing/>
        <w:rPr>
          <w:rFonts w:ascii="Times New Roman" w:hAnsi="Times New Roman" w:cs="Times New Roman"/>
          <w:b w:val="0"/>
          <w:bCs w:val="0"/>
          <w:sz w:val="24"/>
          <w:szCs w:val="24"/>
        </w:rPr>
      </w:pPr>
      <w:r>
        <w:rPr>
          <w:rFonts w:ascii="Times New Roman" w:hAnsi="Times New Roman" w:cs="Times New Roman"/>
          <w:b w:val="0"/>
          <w:bCs w:val="0"/>
          <w:sz w:val="24"/>
          <w:szCs w:val="24"/>
        </w:rPr>
        <w:t>3.1 O regime de execução contratual, o modelo de gestão e a fiscalização, assim como os prazos e condições de conclusão, entrega, observação e recebimento se submetem ao disposto no Termo de Referência anexo a este Contrato e no Decreto nº 40, 25 de fevereiro de 2025.</w:t>
      </w:r>
    </w:p>
    <w:p w14:paraId="61AF1620">
      <w:pPr>
        <w:pStyle w:val="101"/>
        <w:spacing w:before="0" w:line="288" w:lineRule="auto"/>
        <w:ind w:left="0" w:firstLine="0"/>
        <w:contextualSpacing/>
        <w:rPr>
          <w:rFonts w:ascii="Times New Roman" w:hAnsi="Times New Roman" w:cs="Times New Roman"/>
          <w:sz w:val="24"/>
          <w:szCs w:val="24"/>
        </w:rPr>
      </w:pPr>
    </w:p>
    <w:p w14:paraId="14F0B85F">
      <w:pPr>
        <w:pStyle w:val="101"/>
        <w:spacing w:before="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CLÁUSULA QUARTA – SUBCONTRATAÇÃO</w:t>
      </w:r>
    </w:p>
    <w:p w14:paraId="71DDD9D1">
      <w:pPr>
        <w:pStyle w:val="108"/>
        <w:numPr>
          <w:ilvl w:val="0"/>
          <w:numId w:val="0"/>
        </w:numPr>
        <w:spacing w:before="0" w:after="0" w:line="288" w:lineRule="auto"/>
        <w:contextualSpacing/>
        <w:rPr>
          <w:rFonts w:ascii="Times New Roman" w:hAnsi="Times New Roman" w:cs="Times New Roman"/>
          <w:i w:val="0"/>
          <w:iCs w:val="0"/>
          <w:color w:val="auto"/>
          <w:sz w:val="24"/>
          <w:szCs w:val="24"/>
        </w:rPr>
      </w:pPr>
    </w:p>
    <w:p w14:paraId="66FA27CD">
      <w:pPr>
        <w:pStyle w:val="99"/>
        <w:spacing w:before="0" w:after="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4.1 Não será admitida a subcontratação do objeto contratual.</w:t>
      </w:r>
    </w:p>
    <w:p w14:paraId="25D5CD80">
      <w:pPr>
        <w:pStyle w:val="113"/>
        <w:spacing w:before="0" w:after="0" w:line="288" w:lineRule="auto"/>
        <w:contextualSpacing/>
        <w:jc w:val="both"/>
        <w:rPr>
          <w:rFonts w:ascii="Times New Roman" w:hAnsi="Times New Roman" w:cs="Times New Roman"/>
          <w:lang w:eastAsia="zh-CN" w:bidi="hi-IN"/>
        </w:rPr>
      </w:pPr>
    </w:p>
    <w:p w14:paraId="16395BCE">
      <w:pPr>
        <w:pStyle w:val="101"/>
        <w:spacing w:before="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CLÁUSULA QUINTA – PREÇO</w:t>
      </w:r>
    </w:p>
    <w:p w14:paraId="31839912">
      <w:pPr>
        <w:pStyle w:val="113"/>
        <w:spacing w:before="0" w:after="0" w:line="288" w:lineRule="auto"/>
        <w:contextualSpacing/>
        <w:jc w:val="both"/>
        <w:rPr>
          <w:rFonts w:ascii="Times New Roman" w:hAnsi="Times New Roman" w:cs="Times New Roman"/>
          <w:b w:val="0"/>
          <w:bCs w:val="0"/>
          <w:i w:val="0"/>
          <w:iCs w:val="0"/>
          <w:u w:val="none"/>
        </w:rPr>
      </w:pPr>
    </w:p>
    <w:p w14:paraId="209419F6">
      <w:pPr>
        <w:pStyle w:val="108"/>
        <w:numPr>
          <w:ilvl w:val="0"/>
          <w:numId w:val="0"/>
        </w:numPr>
        <w:spacing w:before="0" w:after="0" w:line="288" w:lineRule="auto"/>
        <w:contextualSpacing/>
        <w:rPr>
          <w:rFonts w:ascii="Times New Roman" w:hAnsi="Times New Roman" w:cs="Times New Roman"/>
          <w:i w:val="0"/>
          <w:iCs w:val="0"/>
          <w:color w:val="auto"/>
          <w:sz w:val="24"/>
          <w:szCs w:val="24"/>
          <w:lang w:eastAsia="en-US"/>
        </w:rPr>
      </w:pPr>
      <w:r>
        <w:rPr>
          <w:rFonts w:ascii="Times New Roman" w:hAnsi="Times New Roman" w:cs="Times New Roman"/>
          <w:i w:val="0"/>
          <w:iCs w:val="0"/>
          <w:color w:val="auto"/>
          <w:sz w:val="24"/>
          <w:szCs w:val="24"/>
        </w:rPr>
        <w:t xml:space="preserve">5.1 O valor total máximo do Contrato é de R$ </w:t>
      </w:r>
      <w:r>
        <w:rPr>
          <w:rFonts w:ascii="Times New Roman" w:hAnsi="Times New Roman" w:cs="Times New Roman"/>
          <w:i w:val="0"/>
          <w:iCs w:val="0"/>
          <w:sz w:val="24"/>
          <w:szCs w:val="24"/>
          <w:lang w:eastAsia="en-US"/>
        </w:rPr>
        <w:t xml:space="preserve">......... </w:t>
      </w:r>
      <w:r>
        <w:rPr>
          <w:rFonts w:ascii="Times New Roman" w:hAnsi="Times New Roman" w:cs="Times New Roman"/>
          <w:i w:val="0"/>
          <w:iCs w:val="0"/>
          <w:color w:val="auto"/>
          <w:sz w:val="24"/>
          <w:szCs w:val="24"/>
          <w:lang w:eastAsia="en-US"/>
        </w:rPr>
        <w:t>(</w:t>
      </w:r>
      <w:r>
        <w:rPr>
          <w:rFonts w:ascii="Times New Roman" w:hAnsi="Times New Roman" w:cs="Times New Roman"/>
          <w:iCs w:val="0"/>
          <w:sz w:val="24"/>
          <w:szCs w:val="24"/>
        </w:rPr>
        <w:t>.....</w:t>
      </w:r>
      <w:r>
        <w:rPr>
          <w:rFonts w:ascii="Times New Roman" w:hAnsi="Times New Roman" w:cs="Times New Roman"/>
          <w:i w:val="0"/>
          <w:iCs w:val="0"/>
          <w:color w:val="auto"/>
          <w:sz w:val="24"/>
          <w:szCs w:val="24"/>
          <w:lang w:eastAsia="en-US"/>
        </w:rPr>
        <w:t>).</w:t>
      </w:r>
    </w:p>
    <w:p w14:paraId="6CB4C4B6">
      <w:pPr>
        <w:pStyle w:val="108"/>
        <w:numPr>
          <w:ilvl w:val="0"/>
          <w:numId w:val="0"/>
        </w:numPr>
        <w:spacing w:before="0" w:after="0" w:line="288" w:lineRule="auto"/>
        <w:contextualSpacing/>
        <w:rPr>
          <w:rFonts w:ascii="Times New Roman" w:hAnsi="Times New Roman" w:cs="Times New Roman"/>
          <w:i w:val="0"/>
          <w:iCs w:val="0"/>
          <w:color w:val="auto"/>
          <w:sz w:val="24"/>
          <w:szCs w:val="24"/>
          <w:lang w:eastAsia="en-US"/>
        </w:rPr>
      </w:pPr>
    </w:p>
    <w:p w14:paraId="6DEB6BDB">
      <w:pPr>
        <w:pStyle w:val="108"/>
        <w:numPr>
          <w:ilvl w:val="0"/>
          <w:numId w:val="0"/>
        </w:numPr>
        <w:spacing w:before="0" w:after="0" w:line="288" w:lineRule="auto"/>
        <w:contextualSpacing/>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t>5.2 No valor acima estão incluídas todas as despesas ordinárias diretas e indiretas decorrentes da execução do objeto, inclusive tributos, encargos sociais, trabalhistas, previdenciários, fiscais e comerciais incidentes, taxa de administração, frete, seguro e outros necessários ao cumprimento integral do objeto da contratação.</w:t>
      </w:r>
    </w:p>
    <w:p w14:paraId="7B95A691">
      <w:pPr>
        <w:pStyle w:val="108"/>
        <w:numPr>
          <w:ilvl w:val="0"/>
          <w:numId w:val="0"/>
        </w:numPr>
        <w:spacing w:before="0" w:after="0" w:line="288" w:lineRule="auto"/>
        <w:contextualSpacing/>
        <w:rPr>
          <w:rFonts w:ascii="Times New Roman" w:hAnsi="Times New Roman" w:cs="Times New Roman"/>
          <w:i w:val="0"/>
          <w:iCs w:val="0"/>
          <w:sz w:val="24"/>
          <w:szCs w:val="24"/>
        </w:rPr>
      </w:pPr>
    </w:p>
    <w:p w14:paraId="37240C2D">
      <w:pPr>
        <w:pStyle w:val="108"/>
        <w:numPr>
          <w:ilvl w:val="0"/>
          <w:numId w:val="0"/>
        </w:numPr>
        <w:spacing w:before="0" w:after="0" w:line="288" w:lineRule="auto"/>
        <w:contextualSpacing/>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t xml:space="preserve">5.3 Os pagamentos devidos ao </w:t>
      </w:r>
      <w:r>
        <w:rPr>
          <w:rFonts w:ascii="Times New Roman" w:hAnsi="Times New Roman" w:cs="Times New Roman"/>
          <w:b/>
          <w:bCs/>
          <w:i w:val="0"/>
          <w:iCs w:val="0"/>
          <w:color w:val="auto"/>
          <w:sz w:val="24"/>
          <w:szCs w:val="24"/>
        </w:rPr>
        <w:t>CONTRATADO</w:t>
      </w:r>
      <w:r>
        <w:rPr>
          <w:rFonts w:ascii="Times New Roman" w:hAnsi="Times New Roman" w:cs="Times New Roman"/>
          <w:i w:val="0"/>
          <w:iCs w:val="0"/>
          <w:color w:val="auto"/>
          <w:sz w:val="24"/>
          <w:szCs w:val="24"/>
        </w:rPr>
        <w:t xml:space="preserve"> dependerão dos quantitativos efetivamente fornecidos.</w:t>
      </w:r>
    </w:p>
    <w:p w14:paraId="7CF3EBCB">
      <w:pPr>
        <w:pStyle w:val="108"/>
        <w:numPr>
          <w:ilvl w:val="0"/>
          <w:numId w:val="0"/>
        </w:numPr>
        <w:spacing w:before="0" w:after="0" w:line="288" w:lineRule="auto"/>
        <w:contextualSpacing/>
        <w:rPr>
          <w:rFonts w:ascii="Times New Roman" w:hAnsi="Times New Roman" w:cs="Times New Roman"/>
          <w:i w:val="0"/>
          <w:iCs w:val="0"/>
          <w:color w:val="auto"/>
          <w:sz w:val="24"/>
          <w:szCs w:val="24"/>
          <w:lang w:eastAsia="en-US"/>
        </w:rPr>
      </w:pPr>
    </w:p>
    <w:p w14:paraId="34A9B598">
      <w:pPr>
        <w:pStyle w:val="101"/>
        <w:spacing w:before="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CLÁUSULA SEXTA – PAGAMENTO</w:t>
      </w:r>
    </w:p>
    <w:p w14:paraId="6DA862F4">
      <w:pPr>
        <w:spacing w:line="288" w:lineRule="auto"/>
        <w:contextualSpacing/>
        <w:jc w:val="both"/>
        <w:rPr>
          <w:sz w:val="24"/>
          <w:szCs w:val="24"/>
        </w:rPr>
      </w:pPr>
    </w:p>
    <w:p w14:paraId="6FE92991">
      <w:pPr>
        <w:pStyle w:val="20"/>
        <w:spacing w:line="288" w:lineRule="auto"/>
        <w:contextualSpacing/>
        <w:jc w:val="both"/>
        <w:rPr>
          <w:rFonts w:ascii="Times New Roman" w:hAnsi="Times New Roman" w:cs="Times New Roman"/>
        </w:rPr>
      </w:pPr>
      <w:r>
        <w:rPr>
          <w:rFonts w:ascii="Times New Roman" w:hAnsi="Times New Roman" w:cs="Times New Roman"/>
        </w:rPr>
        <w:t xml:space="preserve">6.1 O </w:t>
      </w:r>
      <w:r>
        <w:rPr>
          <w:rFonts w:ascii="Times New Roman" w:hAnsi="Times New Roman" w:cs="Times New Roman"/>
          <w:b/>
        </w:rPr>
        <w:t>CONTRATANTE</w:t>
      </w:r>
      <w:r>
        <w:rPr>
          <w:rFonts w:ascii="Times New Roman" w:hAnsi="Times New Roman" w:cs="Times New Roman"/>
          <w:bCs/>
        </w:rPr>
        <w:t xml:space="preserve"> deverá pagar ao </w:t>
      </w:r>
      <w:r>
        <w:rPr>
          <w:rFonts w:ascii="Times New Roman" w:hAnsi="Times New Roman" w:cs="Times New Roman"/>
          <w:b/>
        </w:rPr>
        <w:t>CONTRATADO</w:t>
      </w:r>
      <w:r>
        <w:rPr>
          <w:rFonts w:ascii="Times New Roman" w:hAnsi="Times New Roman" w:cs="Times New Roman"/>
        </w:rPr>
        <w:t xml:space="preserve"> o valor total de R$ </w:t>
      </w:r>
      <w:r>
        <w:rPr>
          <w:rFonts w:ascii="Times New Roman" w:hAnsi="Times New Roman" w:cs="Times New Roman"/>
          <w:color w:val="FF0000"/>
        </w:rPr>
        <w:t xml:space="preserve">xxx </w:t>
      </w:r>
      <w:r>
        <w:rPr>
          <w:rFonts w:ascii="Times New Roman" w:hAnsi="Times New Roman" w:cs="Times New Roman"/>
        </w:rPr>
        <w:t>(</w:t>
      </w:r>
      <w:r>
        <w:rPr>
          <w:rFonts w:ascii="Times New Roman" w:hAnsi="Times New Roman" w:cs="Times New Roman"/>
          <w:iCs/>
          <w:color w:val="FF0000"/>
        </w:rPr>
        <w:t>xx</w:t>
      </w:r>
      <w:r>
        <w:rPr>
          <w:rFonts w:ascii="Times New Roman" w:hAnsi="Times New Roman" w:cs="Times New Roman"/>
        </w:rPr>
        <w:t xml:space="preserve">), em </w:t>
      </w:r>
      <w:r>
        <w:rPr>
          <w:rFonts w:ascii="Times New Roman" w:hAnsi="Times New Roman" w:cs="Times New Roman"/>
          <w:color w:val="FF0000"/>
        </w:rPr>
        <w:t xml:space="preserve">...... </w:t>
      </w:r>
      <w:r>
        <w:rPr>
          <w:rFonts w:ascii="Times New Roman" w:hAnsi="Times New Roman" w:cs="Times New Roman"/>
        </w:rPr>
        <w:t>(</w:t>
      </w:r>
      <w:r>
        <w:rPr>
          <w:rFonts w:ascii="Times New Roman" w:hAnsi="Times New Roman" w:cs="Times New Roman"/>
          <w:iCs/>
          <w:color w:val="FF0000"/>
        </w:rPr>
        <w:t>.....</w:t>
      </w:r>
      <w:r>
        <w:rPr>
          <w:rFonts w:ascii="Times New Roman" w:hAnsi="Times New Roman" w:cs="Times New Roman"/>
        </w:rPr>
        <w:t>)</w:t>
      </w:r>
      <w:r>
        <w:rPr>
          <w:rFonts w:ascii="Times New Roman" w:hAnsi="Times New Roman" w:cs="Times New Roman"/>
          <w:color w:val="FF0000"/>
        </w:rPr>
        <w:t xml:space="preserve"> </w:t>
      </w:r>
      <w:r>
        <w:rPr>
          <w:rFonts w:ascii="Times New Roman" w:hAnsi="Times New Roman" w:cs="Times New Roman"/>
        </w:rPr>
        <w:t xml:space="preserve">parcelas, no valor de R$ </w:t>
      </w:r>
      <w:r>
        <w:rPr>
          <w:rFonts w:ascii="Times New Roman" w:hAnsi="Times New Roman" w:cs="Times New Roman"/>
          <w:color w:val="FF0000"/>
        </w:rPr>
        <w:t xml:space="preserve">........ </w:t>
      </w:r>
      <w:r>
        <w:rPr>
          <w:rFonts w:ascii="Times New Roman" w:hAnsi="Times New Roman" w:cs="Times New Roman"/>
        </w:rPr>
        <w:t>(</w:t>
      </w:r>
      <w:r>
        <w:rPr>
          <w:rFonts w:ascii="Times New Roman" w:hAnsi="Times New Roman" w:cs="Times New Roman"/>
          <w:iCs/>
          <w:color w:val="FF0000"/>
        </w:rPr>
        <w:t>.....</w:t>
      </w:r>
      <w:r>
        <w:rPr>
          <w:rFonts w:ascii="Times New Roman" w:hAnsi="Times New Roman" w:cs="Times New Roman"/>
        </w:rPr>
        <w:t xml:space="preserve">), cada uma delas, conforme cronograma de pagamento em anexo, diretamente na conta corrente nº </w:t>
      </w:r>
      <w:r>
        <w:rPr>
          <w:rFonts w:ascii="Times New Roman" w:hAnsi="Times New Roman" w:cs="Times New Roman"/>
          <w:color w:val="FF0000"/>
        </w:rPr>
        <w:t>......</w:t>
      </w:r>
      <w:r>
        <w:rPr>
          <w:rFonts w:ascii="Times New Roman" w:hAnsi="Times New Roman" w:cs="Times New Roman"/>
        </w:rPr>
        <w:t xml:space="preserve"> da agência </w:t>
      </w:r>
      <w:r>
        <w:rPr>
          <w:rFonts w:ascii="Times New Roman" w:hAnsi="Times New Roman" w:cs="Times New Roman"/>
          <w:color w:val="FF0000"/>
        </w:rPr>
        <w:t>......</w:t>
      </w:r>
      <w:r>
        <w:rPr>
          <w:rFonts w:ascii="Times New Roman" w:hAnsi="Times New Roman" w:cs="Times New Roman"/>
        </w:rPr>
        <w:t>, de titularidade d</w:t>
      </w:r>
      <w:r>
        <w:rPr>
          <w:rFonts w:ascii="Times New Roman" w:hAnsi="Times New Roman" w:cs="Times New Roman"/>
          <w:bCs/>
        </w:rPr>
        <w:t xml:space="preserve">o </w:t>
      </w:r>
      <w:r>
        <w:rPr>
          <w:rFonts w:ascii="Times New Roman" w:hAnsi="Times New Roman" w:cs="Times New Roman"/>
          <w:b/>
        </w:rPr>
        <w:t>CONTRATADO</w:t>
      </w:r>
      <w:r>
        <w:rPr>
          <w:rFonts w:ascii="Times New Roman" w:hAnsi="Times New Roman" w:cs="Times New Roman"/>
        </w:rPr>
        <w:t xml:space="preserve">, junto à instituição indicada pelo mesmo, observando-se o disposto no item 5.3. deste Contrato. </w:t>
      </w:r>
    </w:p>
    <w:p w14:paraId="7866DE58">
      <w:pPr>
        <w:pStyle w:val="20"/>
        <w:spacing w:line="288" w:lineRule="auto"/>
        <w:contextualSpacing/>
        <w:jc w:val="both"/>
        <w:rPr>
          <w:rFonts w:ascii="Times New Roman" w:hAnsi="Times New Roman" w:cs="Times New Roman"/>
        </w:rPr>
      </w:pPr>
    </w:p>
    <w:p w14:paraId="1CBE5D47">
      <w:pPr>
        <w:pStyle w:val="20"/>
        <w:spacing w:line="288" w:lineRule="auto"/>
        <w:contextualSpacing/>
        <w:jc w:val="both"/>
        <w:rPr>
          <w:rFonts w:ascii="Times New Roman" w:hAnsi="Times New Roman" w:cs="Times New Roman"/>
        </w:rPr>
      </w:pPr>
      <w:r>
        <w:rPr>
          <w:rFonts w:ascii="Times New Roman" w:hAnsi="Times New Roman" w:cs="Times New Roman"/>
        </w:rPr>
        <w:t xml:space="preserve">6.2 Os pagamentos relativos à aquisição de bens e à contratação de serviços de qualquer natureza realizados pelos órgãos e entidades da Administração Pública Municipal Direta, Autárquica e Fundacional do Poder Executivo serão efetuados exclusivamente, por meio da Instituição financeira contratada pelo município atualmente </w:t>
      </w:r>
      <w:r>
        <w:rPr>
          <w:rFonts w:ascii="Times New Roman" w:hAnsi="Times New Roman" w:cs="Times New Roman"/>
          <w:b/>
        </w:rPr>
        <w:t>Banco Itaú S.A</w:t>
      </w:r>
      <w:r>
        <w:rPr>
          <w:rFonts w:ascii="Times New Roman" w:hAnsi="Times New Roman" w:cs="Times New Roman"/>
        </w:rPr>
        <w:t>, cujo número e agência deverão ser informados pelo adjudicatário.</w:t>
      </w:r>
    </w:p>
    <w:p w14:paraId="5EEC947D">
      <w:pPr>
        <w:spacing w:line="288" w:lineRule="auto"/>
        <w:contextualSpacing/>
        <w:jc w:val="both"/>
        <w:rPr>
          <w:sz w:val="24"/>
          <w:szCs w:val="24"/>
        </w:rPr>
      </w:pPr>
    </w:p>
    <w:p w14:paraId="35096025">
      <w:pPr>
        <w:spacing w:line="288" w:lineRule="auto"/>
        <w:contextualSpacing/>
        <w:jc w:val="both"/>
        <w:rPr>
          <w:sz w:val="24"/>
          <w:szCs w:val="24"/>
        </w:rPr>
      </w:pPr>
      <w:r>
        <w:rPr>
          <w:sz w:val="24"/>
          <w:szCs w:val="24"/>
        </w:rPr>
        <w:t xml:space="preserve">6.3 </w:t>
      </w:r>
      <w:r>
        <w:rPr>
          <w:rFonts w:eastAsia="Arial"/>
          <w:sz w:val="24"/>
          <w:szCs w:val="24"/>
        </w:rPr>
        <w:t xml:space="preserve"> A emissão da Nota Fiscal ou Fatura será precedida do recebimento definitivo do objeto ou de cada parcela, mediante atestação, que não poderá ser realizada pelo ordenador de despesas, conforme disposto neste instrumento e/ou no Termo de Referência, bem ainda no artigo 140, II, alínea b, da Lei nº 14.133/2021 e nos arts. 20 e 22, XXIII, do Decreto nº 40/2025.</w:t>
      </w:r>
    </w:p>
    <w:p w14:paraId="43BA3206">
      <w:pPr>
        <w:spacing w:line="288" w:lineRule="auto"/>
        <w:contextualSpacing/>
        <w:jc w:val="both"/>
        <w:rPr>
          <w:sz w:val="24"/>
          <w:szCs w:val="24"/>
        </w:rPr>
      </w:pPr>
    </w:p>
    <w:p w14:paraId="591DEE10">
      <w:pPr>
        <w:spacing w:line="288" w:lineRule="auto"/>
        <w:contextualSpacing/>
        <w:jc w:val="both"/>
        <w:rPr>
          <w:rFonts w:eastAsia="Arial"/>
          <w:sz w:val="24"/>
          <w:szCs w:val="24"/>
        </w:rPr>
      </w:pPr>
      <w:r>
        <w:rPr>
          <w:rFonts w:eastAsia="Arial"/>
          <w:sz w:val="24"/>
          <w:szCs w:val="24"/>
        </w:rPr>
        <w:t xml:space="preserve">6.3.1 Quando houver glosa parcial do objeto, o </w:t>
      </w:r>
      <w:r>
        <w:rPr>
          <w:rFonts w:eastAsia="Arial"/>
          <w:b/>
          <w:bCs/>
          <w:sz w:val="24"/>
          <w:szCs w:val="24"/>
        </w:rPr>
        <w:t>CONTRATANTE</w:t>
      </w:r>
      <w:r>
        <w:rPr>
          <w:rFonts w:eastAsia="Arial"/>
          <w:sz w:val="24"/>
          <w:szCs w:val="24"/>
        </w:rPr>
        <w:t xml:space="preserve"> deverá comunicar ao </w:t>
      </w:r>
      <w:r>
        <w:rPr>
          <w:rFonts w:eastAsia="Arial"/>
          <w:b/>
          <w:bCs/>
          <w:sz w:val="24"/>
          <w:szCs w:val="24"/>
        </w:rPr>
        <w:t>CONTRATADO</w:t>
      </w:r>
      <w:r>
        <w:rPr>
          <w:rFonts w:eastAsia="Arial"/>
          <w:sz w:val="24"/>
          <w:szCs w:val="24"/>
        </w:rPr>
        <w:t xml:space="preserve"> para que emita Nota Fiscal ou Fatura com o valor exato dimensionado.</w:t>
      </w:r>
    </w:p>
    <w:p w14:paraId="6C42CC81">
      <w:pPr>
        <w:spacing w:line="288" w:lineRule="auto"/>
        <w:contextualSpacing/>
        <w:jc w:val="both"/>
        <w:rPr>
          <w:sz w:val="24"/>
          <w:szCs w:val="24"/>
        </w:rPr>
      </w:pPr>
    </w:p>
    <w:p w14:paraId="59AC51E5">
      <w:pPr>
        <w:spacing w:line="288" w:lineRule="auto"/>
        <w:contextualSpacing/>
        <w:jc w:val="both"/>
        <w:rPr>
          <w:rFonts w:eastAsia="Arial"/>
          <w:sz w:val="24"/>
          <w:szCs w:val="24"/>
        </w:rPr>
      </w:pPr>
      <w:r>
        <w:rPr>
          <w:sz w:val="24"/>
          <w:szCs w:val="24"/>
        </w:rPr>
        <w:t xml:space="preserve">6.4 O </w:t>
      </w:r>
      <w:r>
        <w:rPr>
          <w:b/>
          <w:bCs/>
          <w:sz w:val="24"/>
          <w:szCs w:val="24"/>
        </w:rPr>
        <w:t>CONTRATADO</w:t>
      </w:r>
      <w:r>
        <w:rPr>
          <w:sz w:val="24"/>
          <w:szCs w:val="24"/>
        </w:rPr>
        <w:t xml:space="preserve"> deverá encaminhar a Nota Fiscal ou Fatura para pagamento à </w:t>
      </w:r>
      <w:r>
        <w:rPr>
          <w:color w:val="FF0000"/>
          <w:sz w:val="24"/>
          <w:szCs w:val="24"/>
        </w:rPr>
        <w:t>......</w:t>
      </w:r>
      <w:r>
        <w:rPr>
          <w:rFonts w:eastAsia="Arial"/>
          <w:sz w:val="24"/>
          <w:szCs w:val="24"/>
        </w:rPr>
        <w:t xml:space="preserve">, situada </w:t>
      </w:r>
      <w:r>
        <w:rPr>
          <w:rFonts w:eastAsia="Arial"/>
          <w:color w:val="FF0000"/>
          <w:sz w:val="24"/>
          <w:szCs w:val="24"/>
        </w:rPr>
        <w:t xml:space="preserve">na </w:t>
      </w:r>
      <w:r>
        <w:rPr>
          <w:color w:val="FF0000"/>
          <w:sz w:val="24"/>
          <w:szCs w:val="24"/>
        </w:rPr>
        <w:t>......</w:t>
      </w:r>
      <w:r>
        <w:rPr>
          <w:rFonts w:eastAsia="Arial"/>
          <w:sz w:val="24"/>
          <w:szCs w:val="24"/>
        </w:rPr>
        <w:t xml:space="preserve">, na cidade </w:t>
      </w:r>
      <w:r>
        <w:rPr>
          <w:rFonts w:eastAsia="Arial"/>
          <w:color w:val="FF0000"/>
          <w:sz w:val="24"/>
          <w:szCs w:val="24"/>
        </w:rPr>
        <w:t xml:space="preserve">do </w:t>
      </w:r>
      <w:r>
        <w:rPr>
          <w:color w:val="FF0000"/>
          <w:sz w:val="24"/>
          <w:szCs w:val="24"/>
        </w:rPr>
        <w:t>......</w:t>
      </w:r>
      <w:r>
        <w:rPr>
          <w:rFonts w:eastAsia="Arial"/>
          <w:sz w:val="24"/>
          <w:szCs w:val="24"/>
        </w:rPr>
        <w:t xml:space="preserve">, no Estado do Rio de Janeiro ou para o endereço eletrônico </w:t>
      </w:r>
      <w:r>
        <w:rPr>
          <w:color w:val="FF0000"/>
          <w:sz w:val="24"/>
          <w:szCs w:val="24"/>
        </w:rPr>
        <w:t>......</w:t>
      </w:r>
      <w:r>
        <w:rPr>
          <w:rFonts w:eastAsia="Arial"/>
          <w:sz w:val="24"/>
          <w:szCs w:val="24"/>
        </w:rPr>
        <w:t>.</w:t>
      </w:r>
    </w:p>
    <w:p w14:paraId="42CEA0B9">
      <w:pPr>
        <w:spacing w:line="288" w:lineRule="auto"/>
        <w:contextualSpacing/>
        <w:jc w:val="both"/>
        <w:rPr>
          <w:rFonts w:eastAsia="Arial"/>
          <w:sz w:val="24"/>
          <w:szCs w:val="24"/>
        </w:rPr>
      </w:pPr>
    </w:p>
    <w:p w14:paraId="0BF8AD94">
      <w:pPr>
        <w:spacing w:line="288" w:lineRule="auto"/>
        <w:contextualSpacing/>
        <w:jc w:val="both"/>
        <w:rPr>
          <w:rFonts w:eastAsia="Arial"/>
          <w:sz w:val="24"/>
          <w:szCs w:val="24"/>
        </w:rPr>
      </w:pPr>
      <w:r>
        <w:rPr>
          <w:rFonts w:eastAsia="Arial"/>
          <w:sz w:val="24"/>
          <w:szCs w:val="24"/>
        </w:rPr>
        <w:t>6.5  Recebida a Nota Fiscal ou Fatura, o órgão competente deverá realizar consulta ao SICAF para verificar:</w:t>
      </w:r>
    </w:p>
    <w:p w14:paraId="5E27CE78">
      <w:pPr>
        <w:spacing w:line="288" w:lineRule="auto"/>
        <w:contextualSpacing/>
        <w:jc w:val="both"/>
        <w:rPr>
          <w:sz w:val="24"/>
          <w:szCs w:val="24"/>
        </w:rPr>
      </w:pPr>
      <w:r>
        <w:rPr>
          <w:sz w:val="24"/>
          <w:szCs w:val="24"/>
        </w:rPr>
        <w:t xml:space="preserve">a) a manutenção das condições de habilitação exigidas pelo instrumento convocatório; </w:t>
      </w:r>
    </w:p>
    <w:p w14:paraId="3828CB47">
      <w:pPr>
        <w:spacing w:line="288" w:lineRule="auto"/>
        <w:contextualSpacing/>
        <w:jc w:val="both"/>
        <w:rPr>
          <w:sz w:val="24"/>
          <w:szCs w:val="24"/>
        </w:rPr>
      </w:pPr>
      <w:r>
        <w:rPr>
          <w:sz w:val="24"/>
          <w:szCs w:val="24"/>
        </w:rPr>
        <w:t xml:space="preserve">b) se o </w:t>
      </w:r>
      <w:r>
        <w:rPr>
          <w:b/>
          <w:bCs/>
          <w:sz w:val="24"/>
          <w:szCs w:val="24"/>
        </w:rPr>
        <w:t>CONTRATADO</w:t>
      </w:r>
      <w:r>
        <w:rPr>
          <w:sz w:val="24"/>
          <w:szCs w:val="24"/>
        </w:rPr>
        <w:t xml:space="preserve"> foi penalizado com as sanções de declaração de inidoneidade ou impedimento de licitar e contratar com o Poder Público, observadas as abrangências de aplicação; e</w:t>
      </w:r>
    </w:p>
    <w:p w14:paraId="100B3C09">
      <w:pPr>
        <w:spacing w:line="288" w:lineRule="auto"/>
        <w:contextualSpacing/>
        <w:jc w:val="both"/>
        <w:rPr>
          <w:sz w:val="24"/>
          <w:szCs w:val="24"/>
        </w:rPr>
      </w:pPr>
      <w:r>
        <w:rPr>
          <w:sz w:val="24"/>
          <w:szCs w:val="24"/>
        </w:rPr>
        <w:t>c) eventuais ocorrências impeditivas indiretas, hipótese na qual o gestor deverá verificar se houve fraude por parte das empresas apontadas no Relatório de Ocorrências Impeditivas Indiretas;</w:t>
      </w:r>
    </w:p>
    <w:p w14:paraId="1A0AE590">
      <w:pPr>
        <w:spacing w:line="288" w:lineRule="auto"/>
        <w:contextualSpacing/>
        <w:jc w:val="both"/>
        <w:rPr>
          <w:sz w:val="24"/>
          <w:szCs w:val="24"/>
        </w:rPr>
      </w:pPr>
    </w:p>
    <w:p w14:paraId="2F1572F2">
      <w:pPr>
        <w:spacing w:line="288" w:lineRule="auto"/>
        <w:contextualSpacing/>
        <w:jc w:val="both"/>
        <w:rPr>
          <w:sz w:val="24"/>
          <w:szCs w:val="24"/>
        </w:rPr>
      </w:pPr>
      <w:r>
        <w:rPr>
          <w:sz w:val="24"/>
          <w:szCs w:val="24"/>
        </w:rPr>
        <w:t xml:space="preserve">6.5.1 Constatando-se a situação de irregularidade do </w:t>
      </w:r>
      <w:r>
        <w:rPr>
          <w:b/>
          <w:bCs/>
          <w:sz w:val="24"/>
          <w:szCs w:val="24"/>
        </w:rPr>
        <w:t>CONTRATADO</w:t>
      </w:r>
      <w:r>
        <w:rPr>
          <w:sz w:val="24"/>
          <w:szCs w:val="24"/>
        </w:rPr>
        <w:t xml:space="preserve">, será providenciada sua notificação, por escrito, para que, no prazo de 15 (quinze) dias úteis, regularize sua situação ou, no mesmo prazo, apresente sua defesa e especifique as provas que pretende produzir. O prazo poderá ser prorrogado uma vez, por igual período, a critério do </w:t>
      </w:r>
      <w:r>
        <w:rPr>
          <w:b/>
          <w:bCs/>
          <w:sz w:val="24"/>
          <w:szCs w:val="24"/>
        </w:rPr>
        <w:t>CONTRATANTE</w:t>
      </w:r>
      <w:r>
        <w:rPr>
          <w:sz w:val="24"/>
          <w:szCs w:val="24"/>
        </w:rPr>
        <w:t>.</w:t>
      </w:r>
    </w:p>
    <w:p w14:paraId="64E77924">
      <w:pPr>
        <w:spacing w:line="288" w:lineRule="auto"/>
        <w:contextualSpacing/>
        <w:jc w:val="both"/>
        <w:rPr>
          <w:sz w:val="24"/>
          <w:szCs w:val="24"/>
        </w:rPr>
      </w:pPr>
    </w:p>
    <w:p w14:paraId="1F1F4202">
      <w:pPr>
        <w:spacing w:line="288" w:lineRule="auto"/>
        <w:contextualSpacing/>
        <w:jc w:val="both"/>
        <w:rPr>
          <w:sz w:val="24"/>
          <w:szCs w:val="24"/>
        </w:rPr>
      </w:pPr>
      <w:r>
        <w:rPr>
          <w:sz w:val="24"/>
          <w:szCs w:val="24"/>
        </w:rPr>
        <w:t xml:space="preserve">6.5.2 Não havendo regularização ou sendo a defesa considerada improcedente, o </w:t>
      </w:r>
      <w:r>
        <w:rPr>
          <w:b/>
          <w:bCs/>
          <w:sz w:val="24"/>
          <w:szCs w:val="24"/>
        </w:rPr>
        <w:t>CONTRATANTE</w:t>
      </w:r>
      <w:r>
        <w:rPr>
          <w:sz w:val="24"/>
          <w:szCs w:val="24"/>
        </w:rPr>
        <w:t xml:space="preserve"> deverá comunicar aos órgãos responsáveis pela fiscalização da regularidade fiscal quanto à inadimplência do </w:t>
      </w:r>
      <w:r>
        <w:rPr>
          <w:b/>
          <w:bCs/>
          <w:sz w:val="24"/>
          <w:szCs w:val="24"/>
        </w:rPr>
        <w:t>CONTRATADO</w:t>
      </w:r>
      <w:r>
        <w:rPr>
          <w:sz w:val="24"/>
          <w:szCs w:val="24"/>
        </w:rPr>
        <w:t xml:space="preserve">, bem como quanto à existência de pagamento a ser efetuado, para que sejam acionados os meios pertinentes e necessários para garantir o recebimento de seus créditos.  </w:t>
      </w:r>
    </w:p>
    <w:p w14:paraId="0D33F7BC">
      <w:pPr>
        <w:spacing w:line="288" w:lineRule="auto"/>
        <w:contextualSpacing/>
        <w:jc w:val="both"/>
        <w:rPr>
          <w:sz w:val="24"/>
          <w:szCs w:val="24"/>
        </w:rPr>
      </w:pPr>
    </w:p>
    <w:p w14:paraId="1DB392D5">
      <w:pPr>
        <w:spacing w:line="288" w:lineRule="auto"/>
        <w:contextualSpacing/>
        <w:jc w:val="both"/>
        <w:rPr>
          <w:sz w:val="24"/>
          <w:szCs w:val="24"/>
        </w:rPr>
      </w:pPr>
      <w:r>
        <w:rPr>
          <w:sz w:val="24"/>
          <w:szCs w:val="24"/>
        </w:rPr>
        <w:t xml:space="preserve">6.5.3 Persistindo a irregularidade, o </w:t>
      </w:r>
      <w:r>
        <w:rPr>
          <w:b/>
          <w:bCs/>
          <w:sz w:val="24"/>
          <w:szCs w:val="24"/>
        </w:rPr>
        <w:t>CONTRATANTE</w:t>
      </w:r>
      <w:r>
        <w:rPr>
          <w:sz w:val="24"/>
          <w:szCs w:val="24"/>
        </w:rPr>
        <w:t xml:space="preserve"> deverá adotar as medidas necessárias à rescisão do Contrato nos autos do processo administrativo correspondente, assegurada ao </w:t>
      </w:r>
      <w:r>
        <w:rPr>
          <w:b/>
          <w:bCs/>
          <w:sz w:val="24"/>
          <w:szCs w:val="24"/>
        </w:rPr>
        <w:t>CONTRATADO</w:t>
      </w:r>
      <w:r>
        <w:rPr>
          <w:sz w:val="24"/>
          <w:szCs w:val="24"/>
        </w:rPr>
        <w:t xml:space="preserve"> a ampla defesa.</w:t>
      </w:r>
    </w:p>
    <w:p w14:paraId="0D14BD50">
      <w:pPr>
        <w:spacing w:line="288" w:lineRule="auto"/>
        <w:contextualSpacing/>
        <w:jc w:val="both"/>
        <w:rPr>
          <w:sz w:val="24"/>
          <w:szCs w:val="24"/>
        </w:rPr>
      </w:pPr>
    </w:p>
    <w:p w14:paraId="6FAF67EC">
      <w:pPr>
        <w:spacing w:line="288" w:lineRule="auto"/>
        <w:contextualSpacing/>
        <w:jc w:val="both"/>
        <w:rPr>
          <w:sz w:val="24"/>
          <w:szCs w:val="24"/>
        </w:rPr>
      </w:pPr>
      <w:r>
        <w:rPr>
          <w:sz w:val="24"/>
          <w:szCs w:val="24"/>
        </w:rPr>
        <w:t xml:space="preserve">6.5.4 Havendo a efetiva execução do objeto, os pagamentos serão realizados normalmente, até que se decida pela rescisão do Contrato, caso o </w:t>
      </w:r>
      <w:r>
        <w:rPr>
          <w:b/>
          <w:bCs/>
          <w:sz w:val="24"/>
          <w:szCs w:val="24"/>
        </w:rPr>
        <w:t>CONTRATADO</w:t>
      </w:r>
      <w:r>
        <w:rPr>
          <w:sz w:val="24"/>
          <w:szCs w:val="24"/>
        </w:rPr>
        <w:t xml:space="preserve"> não regularize sua situação. </w:t>
      </w:r>
    </w:p>
    <w:p w14:paraId="3732BBFA">
      <w:pPr>
        <w:spacing w:line="288" w:lineRule="auto"/>
        <w:contextualSpacing/>
        <w:jc w:val="both"/>
        <w:rPr>
          <w:sz w:val="24"/>
          <w:szCs w:val="24"/>
        </w:rPr>
      </w:pPr>
    </w:p>
    <w:p w14:paraId="30622762">
      <w:pPr>
        <w:spacing w:line="288" w:lineRule="auto"/>
        <w:contextualSpacing/>
        <w:jc w:val="both"/>
        <w:rPr>
          <w:sz w:val="24"/>
          <w:szCs w:val="24"/>
        </w:rPr>
      </w:pPr>
      <w:r>
        <w:rPr>
          <w:sz w:val="24"/>
          <w:szCs w:val="24"/>
        </w:rPr>
        <w:t>6.6 O pagamento será efetuado no prazo máximo de até 30</w:t>
      </w:r>
      <w:r>
        <w:rPr>
          <w:color w:val="FF0000"/>
          <w:sz w:val="24"/>
          <w:szCs w:val="24"/>
        </w:rPr>
        <w:t xml:space="preserve"> </w:t>
      </w:r>
      <w:r>
        <w:rPr>
          <w:sz w:val="24"/>
          <w:szCs w:val="24"/>
        </w:rPr>
        <w:t>(trinta)</w:t>
      </w:r>
      <w:r>
        <w:rPr>
          <w:color w:val="FF0000"/>
          <w:sz w:val="24"/>
          <w:szCs w:val="24"/>
        </w:rPr>
        <w:t xml:space="preserve"> </w:t>
      </w:r>
      <w:r>
        <w:rPr>
          <w:sz w:val="24"/>
          <w:szCs w:val="24"/>
        </w:rPr>
        <w:t>dias, contado do recebimento da Nota Fiscal ou Fatura.</w:t>
      </w:r>
    </w:p>
    <w:p w14:paraId="408DB1F8">
      <w:pPr>
        <w:spacing w:line="288" w:lineRule="auto"/>
        <w:contextualSpacing/>
        <w:jc w:val="both"/>
        <w:rPr>
          <w:color w:val="FF0000"/>
          <w:sz w:val="24"/>
          <w:szCs w:val="24"/>
        </w:rPr>
      </w:pPr>
    </w:p>
    <w:p w14:paraId="16F148FE">
      <w:pPr>
        <w:spacing w:line="288" w:lineRule="auto"/>
        <w:contextualSpacing/>
        <w:jc w:val="both"/>
        <w:rPr>
          <w:sz w:val="24"/>
          <w:szCs w:val="24"/>
        </w:rPr>
      </w:pPr>
      <w:r>
        <w:rPr>
          <w:sz w:val="24"/>
          <w:szCs w:val="24"/>
        </w:rPr>
        <w:t xml:space="preserve">6.6.1 Havendo erro na apresentação da Nota Fiscal ou Fatura, ou circunstância que impeça a liquidação da despesa, o pagamento ficará sobrestado até que o </w:t>
      </w:r>
      <w:r>
        <w:rPr>
          <w:b/>
          <w:bCs/>
          <w:sz w:val="24"/>
          <w:szCs w:val="24"/>
        </w:rPr>
        <w:t>CONTRATADO</w:t>
      </w:r>
      <w:r>
        <w:rPr>
          <w:sz w:val="24"/>
          <w:szCs w:val="24"/>
        </w:rPr>
        <w:t xml:space="preserve"> providencie as medidas saneadoras. Nessa hipótese, o prazo para pagamento iniciar-se-á após a comprovação da regularização da situação, não acarretando qualquer ônus para o </w:t>
      </w:r>
      <w:r>
        <w:rPr>
          <w:b/>
          <w:bCs/>
          <w:sz w:val="24"/>
          <w:szCs w:val="24"/>
        </w:rPr>
        <w:t>CONTRATANTE</w:t>
      </w:r>
      <w:r>
        <w:rPr>
          <w:sz w:val="24"/>
          <w:szCs w:val="24"/>
        </w:rPr>
        <w:t>.</w:t>
      </w:r>
    </w:p>
    <w:p w14:paraId="418A0034">
      <w:pPr>
        <w:spacing w:line="288" w:lineRule="auto"/>
        <w:contextualSpacing/>
        <w:jc w:val="both"/>
        <w:rPr>
          <w:sz w:val="24"/>
          <w:szCs w:val="24"/>
        </w:rPr>
      </w:pPr>
    </w:p>
    <w:p w14:paraId="6636B31D">
      <w:pPr>
        <w:spacing w:line="288" w:lineRule="auto"/>
        <w:contextualSpacing/>
        <w:jc w:val="both"/>
        <w:rPr>
          <w:sz w:val="24"/>
          <w:szCs w:val="24"/>
        </w:rPr>
      </w:pPr>
      <w:r>
        <w:rPr>
          <w:sz w:val="24"/>
          <w:szCs w:val="24"/>
        </w:rPr>
        <w:t>6.7 Quando do pagamento, será efetuada a retenção tributária prevista na legislação aplicável.</w:t>
      </w:r>
    </w:p>
    <w:p w14:paraId="5B8252C6">
      <w:pPr>
        <w:spacing w:line="288" w:lineRule="auto"/>
        <w:contextualSpacing/>
        <w:jc w:val="both"/>
        <w:rPr>
          <w:sz w:val="24"/>
          <w:szCs w:val="24"/>
        </w:rPr>
      </w:pPr>
    </w:p>
    <w:p w14:paraId="31AE5DB5">
      <w:pPr>
        <w:spacing w:line="288" w:lineRule="auto"/>
        <w:contextualSpacing/>
        <w:jc w:val="both"/>
        <w:rPr>
          <w:sz w:val="24"/>
          <w:szCs w:val="24"/>
        </w:rPr>
      </w:pPr>
      <w:r>
        <w:rPr>
          <w:sz w:val="24"/>
          <w:szCs w:val="24"/>
        </w:rPr>
        <w:t>6.7.1 Independentemente do percentual de tributo inserido na planilha, no pagamento serão retidos na fonte os percentuais estabelecidos na legislação vigente.</w:t>
      </w:r>
    </w:p>
    <w:p w14:paraId="094DB230">
      <w:pPr>
        <w:spacing w:line="288" w:lineRule="auto"/>
        <w:contextualSpacing/>
        <w:jc w:val="both"/>
        <w:rPr>
          <w:sz w:val="24"/>
          <w:szCs w:val="24"/>
        </w:rPr>
      </w:pPr>
    </w:p>
    <w:p w14:paraId="04B98F38">
      <w:pPr>
        <w:spacing w:line="288" w:lineRule="auto"/>
        <w:contextualSpacing/>
        <w:jc w:val="both"/>
        <w:rPr>
          <w:sz w:val="24"/>
          <w:szCs w:val="24"/>
        </w:rPr>
      </w:pPr>
      <w:r>
        <w:rPr>
          <w:sz w:val="24"/>
          <w:szCs w:val="24"/>
        </w:rPr>
        <w:t xml:space="preserve">6.7.2 O </w:t>
      </w:r>
      <w:r>
        <w:rPr>
          <w:b/>
          <w:bCs/>
          <w:sz w:val="24"/>
          <w:szCs w:val="24"/>
        </w:rPr>
        <w:t>CONTRATADO</w:t>
      </w:r>
      <w:r>
        <w:rPr>
          <w:sz w:val="24"/>
          <w:szCs w:val="24"/>
        </w:rPr>
        <w:t xml:space="preserve"> regularmente optante pelo Simples Nacional, nos termos da Lei Complementar nº 123/2006,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 nº 123/2006.</w:t>
      </w:r>
    </w:p>
    <w:p w14:paraId="5DB7F829">
      <w:pPr>
        <w:spacing w:line="288" w:lineRule="auto"/>
        <w:contextualSpacing/>
        <w:jc w:val="both"/>
        <w:rPr>
          <w:sz w:val="24"/>
          <w:szCs w:val="24"/>
        </w:rPr>
      </w:pPr>
    </w:p>
    <w:p w14:paraId="75B82C29">
      <w:pPr>
        <w:spacing w:line="288" w:lineRule="auto"/>
        <w:contextualSpacing/>
        <w:jc w:val="both"/>
        <w:rPr>
          <w:iCs/>
          <w:sz w:val="24"/>
          <w:szCs w:val="24"/>
        </w:rPr>
      </w:pPr>
      <w:r>
        <w:rPr>
          <w:color w:val="000000"/>
          <w:sz w:val="24"/>
          <w:szCs w:val="24"/>
        </w:rPr>
        <w:t>6.8 Os pagamentos eventualmente realizados com atraso, desde</w:t>
      </w:r>
      <w:r>
        <w:rPr>
          <w:sz w:val="24"/>
          <w:szCs w:val="24"/>
        </w:rPr>
        <w:t xml:space="preserve"> que não decorram de ato ou fato atribuível ao </w:t>
      </w:r>
      <w:r>
        <w:rPr>
          <w:b/>
          <w:bCs/>
          <w:sz w:val="24"/>
          <w:szCs w:val="24"/>
        </w:rPr>
        <w:t>CONTRATADO</w:t>
      </w:r>
      <w:r>
        <w:rPr>
          <w:sz w:val="24"/>
          <w:szCs w:val="24"/>
        </w:rPr>
        <w:t xml:space="preserve">, sofrerão a incidência de atualização monetária e juros de mora pelo IPCA-E, calculado </w:t>
      </w:r>
      <w:r>
        <w:rPr>
          <w:i/>
          <w:sz w:val="24"/>
          <w:szCs w:val="24"/>
        </w:rPr>
        <w:t>pro rata die</w:t>
      </w:r>
      <w:r>
        <w:rPr>
          <w:sz w:val="24"/>
          <w:szCs w:val="24"/>
        </w:rPr>
        <w:t xml:space="preserve">, e aqueles pagos em prazo inferior ao estabelecido no instrumento convocatório serão feitos mediante desconto de 0,5% (um meio por cento) ao mês, calculado </w:t>
      </w:r>
      <w:r>
        <w:rPr>
          <w:i/>
          <w:sz w:val="24"/>
          <w:szCs w:val="24"/>
        </w:rPr>
        <w:t>pro rata die</w:t>
      </w:r>
      <w:r>
        <w:rPr>
          <w:iCs/>
          <w:sz w:val="24"/>
          <w:szCs w:val="24"/>
        </w:rPr>
        <w:t>.</w:t>
      </w:r>
    </w:p>
    <w:p w14:paraId="358316FC">
      <w:pPr>
        <w:spacing w:line="288" w:lineRule="auto"/>
        <w:contextualSpacing/>
        <w:jc w:val="both"/>
        <w:rPr>
          <w:color w:val="000000"/>
          <w:sz w:val="24"/>
          <w:szCs w:val="24"/>
        </w:rPr>
      </w:pPr>
    </w:p>
    <w:p w14:paraId="01157F38">
      <w:pPr>
        <w:spacing w:line="288" w:lineRule="auto"/>
        <w:contextualSpacing/>
        <w:jc w:val="both"/>
        <w:rPr>
          <w:sz w:val="24"/>
          <w:szCs w:val="24"/>
        </w:rPr>
      </w:pPr>
      <w:r>
        <w:rPr>
          <w:color w:val="000000"/>
          <w:sz w:val="24"/>
          <w:szCs w:val="24"/>
        </w:rPr>
        <w:t xml:space="preserve">6.9 </w:t>
      </w:r>
      <w:r>
        <w:rPr>
          <w:sz w:val="24"/>
          <w:szCs w:val="24"/>
        </w:rPr>
        <w:t xml:space="preserve">O </w:t>
      </w:r>
      <w:r>
        <w:rPr>
          <w:b/>
          <w:bCs/>
          <w:sz w:val="24"/>
          <w:szCs w:val="24"/>
        </w:rPr>
        <w:t>CONTRATADO</w:t>
      </w:r>
      <w:r>
        <w:rPr>
          <w:sz w:val="24"/>
          <w:szCs w:val="24"/>
        </w:rPr>
        <w:t xml:space="preserve"> deverá emitir a Nota Fiscal Eletrônica – NF-e, consoante o Protocolo ICMS nº 42/2009, com a redação conferida pelo Protocolo ICMS nº 85/2010, e caso seu estabelecimento esteja localizado no Estado do Rio de Janeiro, deverá observar a forma prescrita nas alíneas </w:t>
      </w:r>
      <w:r>
        <w:rPr>
          <w:iCs/>
          <w:sz w:val="24"/>
          <w:szCs w:val="24"/>
        </w:rPr>
        <w:t>a, b, c, d e e</w:t>
      </w:r>
      <w:r>
        <w:rPr>
          <w:i/>
          <w:sz w:val="24"/>
          <w:szCs w:val="24"/>
        </w:rPr>
        <w:t xml:space="preserve"> </w:t>
      </w:r>
      <w:r>
        <w:rPr>
          <w:sz w:val="24"/>
          <w:szCs w:val="24"/>
        </w:rPr>
        <w:t>do parágrafo 1º do artigo 2º da Resolução SEFAZ nº 971/2016.</w:t>
      </w:r>
    </w:p>
    <w:p w14:paraId="30BE2744">
      <w:pPr>
        <w:spacing w:line="288" w:lineRule="auto"/>
        <w:contextualSpacing/>
        <w:jc w:val="both"/>
        <w:rPr>
          <w:sz w:val="24"/>
          <w:szCs w:val="24"/>
        </w:rPr>
      </w:pPr>
    </w:p>
    <w:p w14:paraId="09F51DB8">
      <w:pPr>
        <w:spacing w:line="288" w:lineRule="auto"/>
        <w:contextualSpacing/>
        <w:jc w:val="both"/>
        <w:rPr>
          <w:sz w:val="24"/>
          <w:szCs w:val="24"/>
        </w:rPr>
      </w:pPr>
      <w:r>
        <w:rPr>
          <w:sz w:val="24"/>
          <w:szCs w:val="24"/>
        </w:rPr>
        <w:t xml:space="preserve">6.10 Caso o Edital admita a subcontratação, os pagamentos aos subcontratados serão realizados diretamente pelo </w:t>
      </w:r>
      <w:r>
        <w:rPr>
          <w:b/>
          <w:bCs/>
          <w:sz w:val="24"/>
          <w:szCs w:val="24"/>
        </w:rPr>
        <w:t>CONTRATADO</w:t>
      </w:r>
      <w:r>
        <w:rPr>
          <w:sz w:val="24"/>
          <w:szCs w:val="24"/>
        </w:rPr>
        <w:t xml:space="preserve">, ficando vedada a emissão de nota de empenho do </w:t>
      </w:r>
      <w:r>
        <w:rPr>
          <w:b/>
          <w:bCs/>
          <w:sz w:val="24"/>
          <w:szCs w:val="24"/>
        </w:rPr>
        <w:t>CONTRATANTE</w:t>
      </w:r>
      <w:r>
        <w:rPr>
          <w:sz w:val="24"/>
          <w:szCs w:val="24"/>
        </w:rPr>
        <w:t xml:space="preserve"> diretamente aos subcontratados. </w:t>
      </w:r>
    </w:p>
    <w:p w14:paraId="1B81DBCC">
      <w:pPr>
        <w:pStyle w:val="108"/>
        <w:numPr>
          <w:ilvl w:val="0"/>
          <w:numId w:val="0"/>
        </w:numPr>
        <w:spacing w:before="0" w:after="0" w:line="288" w:lineRule="auto"/>
        <w:contextualSpacing/>
        <w:rPr>
          <w:rFonts w:ascii="Times New Roman" w:hAnsi="Times New Roman" w:cs="Times New Roman"/>
          <w:i w:val="0"/>
          <w:iCs w:val="0"/>
          <w:color w:val="auto"/>
          <w:sz w:val="24"/>
          <w:szCs w:val="24"/>
        </w:rPr>
      </w:pPr>
    </w:p>
    <w:p w14:paraId="5FD9E8ED">
      <w:pPr>
        <w:pStyle w:val="108"/>
        <w:numPr>
          <w:ilvl w:val="0"/>
          <w:numId w:val="0"/>
        </w:numPr>
        <w:spacing w:before="0" w:after="0" w:line="288" w:lineRule="auto"/>
        <w:contextualSpacing/>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t xml:space="preserve">6.10.1 A subcontratação porventura realizada será integralmente custeada pelo </w:t>
      </w:r>
      <w:r>
        <w:rPr>
          <w:rFonts w:ascii="Times New Roman" w:hAnsi="Times New Roman" w:cs="Times New Roman"/>
          <w:b/>
          <w:bCs/>
          <w:i w:val="0"/>
          <w:iCs w:val="0"/>
          <w:color w:val="auto"/>
          <w:sz w:val="24"/>
          <w:szCs w:val="24"/>
        </w:rPr>
        <w:t>CONTRATADO</w:t>
      </w:r>
      <w:r>
        <w:rPr>
          <w:rFonts w:ascii="Times New Roman" w:hAnsi="Times New Roman" w:cs="Times New Roman"/>
          <w:i w:val="0"/>
          <w:iCs w:val="0"/>
          <w:color w:val="auto"/>
          <w:sz w:val="24"/>
          <w:szCs w:val="24"/>
        </w:rPr>
        <w:t>.</w:t>
      </w:r>
    </w:p>
    <w:p w14:paraId="45C9BD0D">
      <w:pPr>
        <w:pStyle w:val="108"/>
        <w:numPr>
          <w:ilvl w:val="0"/>
          <w:numId w:val="0"/>
        </w:numPr>
        <w:spacing w:before="0" w:after="0" w:line="288" w:lineRule="auto"/>
        <w:contextualSpacing/>
        <w:rPr>
          <w:rFonts w:ascii="Times New Roman" w:hAnsi="Times New Roman" w:cs="Times New Roman"/>
          <w:i w:val="0"/>
          <w:iCs w:val="0"/>
          <w:color w:val="auto"/>
          <w:sz w:val="24"/>
          <w:szCs w:val="24"/>
        </w:rPr>
      </w:pPr>
    </w:p>
    <w:p w14:paraId="676681EC">
      <w:pPr>
        <w:pStyle w:val="101"/>
        <w:spacing w:before="0" w:line="288" w:lineRule="auto"/>
        <w:ind w:left="0" w:firstLine="0"/>
        <w:contextualSpacing/>
        <w:rPr>
          <w:rStyle w:val="16"/>
          <w:rFonts w:ascii="Times New Roman" w:hAnsi="Times New Roman" w:cs="Times New Roman" w:eastAsiaTheme="minorHAnsi"/>
          <w:b w:val="0"/>
          <w:bCs w:val="0"/>
          <w:sz w:val="24"/>
          <w:szCs w:val="24"/>
        </w:rPr>
      </w:pPr>
      <w:r>
        <w:rPr>
          <w:rFonts w:ascii="Times New Roman" w:hAnsi="Times New Roman" w:cs="Times New Roman"/>
          <w:sz w:val="24"/>
          <w:szCs w:val="24"/>
        </w:rPr>
        <w:t xml:space="preserve">CLÁUSULA SÉTIMA - REAJUSTE </w:t>
      </w:r>
    </w:p>
    <w:p w14:paraId="629331A5">
      <w:pPr>
        <w:spacing w:line="288" w:lineRule="auto"/>
        <w:contextualSpacing/>
        <w:jc w:val="both"/>
        <w:rPr>
          <w:sz w:val="24"/>
          <w:szCs w:val="24"/>
        </w:rPr>
      </w:pPr>
    </w:p>
    <w:p w14:paraId="43E46AE5">
      <w:pPr>
        <w:pStyle w:val="99"/>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7.1 Os preços contratados serão reajustados após o interregno de 1 (um) ano, mediante solicitação do </w:t>
      </w:r>
      <w:r>
        <w:rPr>
          <w:rFonts w:ascii="Times New Roman" w:hAnsi="Times New Roman" w:cs="Times New Roman"/>
          <w:b/>
          <w:bCs/>
          <w:sz w:val="24"/>
          <w:szCs w:val="24"/>
        </w:rPr>
        <w:t>CONTRATADO</w:t>
      </w:r>
      <w:r>
        <w:rPr>
          <w:rFonts w:ascii="Times New Roman" w:hAnsi="Times New Roman" w:cs="Times New Roman"/>
          <w:sz w:val="24"/>
          <w:szCs w:val="24"/>
        </w:rPr>
        <w:t>.</w:t>
      </w:r>
    </w:p>
    <w:p w14:paraId="2CE5B8DF">
      <w:pPr>
        <w:pStyle w:val="99"/>
        <w:spacing w:before="0" w:after="0" w:line="288" w:lineRule="auto"/>
        <w:ind w:left="0" w:firstLine="0"/>
        <w:contextualSpacing/>
        <w:rPr>
          <w:rFonts w:ascii="Times New Roman" w:hAnsi="Times New Roman" w:cs="Times New Roman"/>
          <w:sz w:val="24"/>
          <w:szCs w:val="24"/>
        </w:rPr>
      </w:pPr>
    </w:p>
    <w:p w14:paraId="03F20926">
      <w:pPr>
        <w:pStyle w:val="99"/>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7.2 O interregno mínimo de 1 (um) ano para o primeiro reajuste será contado da data do orçamento estimado. </w:t>
      </w:r>
    </w:p>
    <w:p w14:paraId="7755AAE0">
      <w:pPr>
        <w:pStyle w:val="99"/>
        <w:spacing w:before="0" w:after="0" w:line="288" w:lineRule="auto"/>
        <w:ind w:left="0" w:firstLine="0"/>
        <w:contextualSpacing/>
        <w:rPr>
          <w:rFonts w:ascii="Times New Roman" w:hAnsi="Times New Roman" w:cs="Times New Roman"/>
          <w:sz w:val="24"/>
          <w:szCs w:val="24"/>
        </w:rPr>
      </w:pPr>
    </w:p>
    <w:p w14:paraId="2C895CCC">
      <w:pPr>
        <w:pStyle w:val="99"/>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7.3 Nos reajustes subsequentes ao primeiro, o interregno mínimo de 1 (um) ano será contado a partir do fato gerador que deu ensejo ao último reajuste.</w:t>
      </w:r>
    </w:p>
    <w:p w14:paraId="2CB9B6AF">
      <w:pPr>
        <w:pStyle w:val="99"/>
        <w:spacing w:before="0" w:after="0" w:line="288" w:lineRule="auto"/>
        <w:ind w:left="0" w:firstLine="0"/>
        <w:contextualSpacing/>
        <w:rPr>
          <w:rFonts w:ascii="Times New Roman" w:hAnsi="Times New Roman" w:cs="Times New Roman"/>
          <w:sz w:val="24"/>
          <w:szCs w:val="24"/>
        </w:rPr>
      </w:pPr>
    </w:p>
    <w:p w14:paraId="6BA2105E">
      <w:pPr>
        <w:pStyle w:val="99"/>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7.4 Os preços iniciais serão reajustados, mediante a aplicação, pelo </w:t>
      </w:r>
      <w:r>
        <w:rPr>
          <w:rFonts w:ascii="Times New Roman" w:hAnsi="Times New Roman" w:cs="Times New Roman"/>
          <w:b/>
          <w:bCs/>
          <w:sz w:val="24"/>
          <w:szCs w:val="24"/>
        </w:rPr>
        <w:t>CONTRATANTE</w:t>
      </w:r>
      <w:r>
        <w:rPr>
          <w:rFonts w:ascii="Times New Roman" w:hAnsi="Times New Roman" w:cs="Times New Roman"/>
          <w:sz w:val="24"/>
          <w:szCs w:val="24"/>
        </w:rPr>
        <w:t>, do índice IPCA-E</w:t>
      </w:r>
      <w:r>
        <w:rPr>
          <w:rFonts w:ascii="Times New Roman" w:hAnsi="Times New Roman" w:cs="Times New Roman"/>
          <w:i/>
          <w:iCs/>
          <w:sz w:val="24"/>
          <w:szCs w:val="24"/>
        </w:rPr>
        <w:t>,</w:t>
      </w:r>
      <w:r>
        <w:rPr>
          <w:rFonts w:ascii="Times New Roman" w:hAnsi="Times New Roman" w:cs="Times New Roman"/>
          <w:sz w:val="24"/>
          <w:szCs w:val="24"/>
        </w:rPr>
        <w:t xml:space="preserve"> exclusivamente para as obrigações </w:t>
      </w:r>
      <w:r>
        <w:rPr>
          <w:rFonts w:ascii="Times New Roman" w:hAnsi="Times New Roman" w:cs="Times New Roman"/>
          <w:color w:val="auto"/>
          <w:sz w:val="24"/>
          <w:szCs w:val="24"/>
        </w:rPr>
        <w:t>que se iniciem após a anualidade</w:t>
      </w:r>
      <w:r>
        <w:rPr>
          <w:rFonts w:ascii="Times New Roman" w:hAnsi="Times New Roman" w:cs="Times New Roman"/>
          <w:sz w:val="24"/>
          <w:szCs w:val="24"/>
        </w:rPr>
        <w:t>.</w:t>
      </w:r>
    </w:p>
    <w:p w14:paraId="435ADA36">
      <w:pPr>
        <w:pStyle w:val="99"/>
        <w:spacing w:before="0" w:after="0" w:line="288" w:lineRule="auto"/>
        <w:ind w:left="0" w:firstLine="0"/>
        <w:contextualSpacing/>
        <w:rPr>
          <w:rFonts w:ascii="Times New Roman" w:hAnsi="Times New Roman" w:cs="Times New Roman"/>
          <w:sz w:val="24"/>
          <w:szCs w:val="24"/>
        </w:rPr>
      </w:pPr>
    </w:p>
    <w:p w14:paraId="0F723165">
      <w:pPr>
        <w:pStyle w:val="99"/>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7.5 No caso de atraso ou não divulgação do(s) índice(s) de reajustamento, o </w:t>
      </w:r>
      <w:r>
        <w:rPr>
          <w:rFonts w:ascii="Times New Roman" w:hAnsi="Times New Roman" w:cs="Times New Roman"/>
          <w:b/>
          <w:bCs/>
          <w:sz w:val="24"/>
          <w:szCs w:val="24"/>
        </w:rPr>
        <w:t>CONTRATANTE</w:t>
      </w:r>
      <w:r>
        <w:rPr>
          <w:rFonts w:ascii="Times New Roman" w:hAnsi="Times New Roman" w:cs="Times New Roman"/>
          <w:sz w:val="24"/>
          <w:szCs w:val="24"/>
        </w:rPr>
        <w:t xml:space="preserve"> pagará ao </w:t>
      </w:r>
      <w:r>
        <w:rPr>
          <w:rFonts w:ascii="Times New Roman" w:hAnsi="Times New Roman" w:cs="Times New Roman"/>
          <w:b/>
          <w:bCs/>
          <w:sz w:val="24"/>
          <w:szCs w:val="24"/>
        </w:rPr>
        <w:t>CONTRATADO</w:t>
      </w:r>
      <w:r>
        <w:rPr>
          <w:rFonts w:ascii="Times New Roman" w:hAnsi="Times New Roman" w:cs="Times New Roman"/>
          <w:sz w:val="24"/>
          <w:szCs w:val="24"/>
        </w:rPr>
        <w:t xml:space="preserve"> a importância calculada pela última variação conhecida, liquidando a diferença correspondente tão logo seja(m) divulgado(s) o(s) índice(s) definitivo(s). </w:t>
      </w:r>
    </w:p>
    <w:p w14:paraId="2ADDB91F">
      <w:pPr>
        <w:pStyle w:val="99"/>
        <w:spacing w:before="0" w:after="0" w:line="288" w:lineRule="auto"/>
        <w:ind w:left="0" w:firstLine="0"/>
        <w:contextualSpacing/>
        <w:rPr>
          <w:rFonts w:ascii="Times New Roman" w:hAnsi="Times New Roman" w:cs="Times New Roman"/>
          <w:sz w:val="24"/>
          <w:szCs w:val="24"/>
        </w:rPr>
      </w:pPr>
    </w:p>
    <w:p w14:paraId="1713B467">
      <w:pPr>
        <w:pStyle w:val="99"/>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7.5.1 Fica o </w:t>
      </w:r>
      <w:r>
        <w:rPr>
          <w:rFonts w:ascii="Times New Roman" w:hAnsi="Times New Roman" w:cs="Times New Roman"/>
          <w:b/>
          <w:bCs/>
          <w:sz w:val="24"/>
          <w:szCs w:val="24"/>
        </w:rPr>
        <w:t>CONTRATADO</w:t>
      </w:r>
      <w:r>
        <w:rPr>
          <w:rFonts w:ascii="Times New Roman" w:hAnsi="Times New Roman" w:cs="Times New Roman"/>
          <w:sz w:val="24"/>
          <w:szCs w:val="24"/>
        </w:rPr>
        <w:t xml:space="preserve"> obrigado a apresentar memória de cálculo referente ao reajustamento de preços do valor remanescente, sempre que este ocorrer, sendo adotado na aferição final o índice definitivo.</w:t>
      </w:r>
    </w:p>
    <w:p w14:paraId="69FC9A99">
      <w:pPr>
        <w:pStyle w:val="99"/>
        <w:spacing w:before="0" w:after="0" w:line="288" w:lineRule="auto"/>
        <w:ind w:left="0" w:firstLine="0"/>
        <w:contextualSpacing/>
        <w:rPr>
          <w:rFonts w:ascii="Times New Roman" w:hAnsi="Times New Roman" w:cs="Times New Roman"/>
          <w:sz w:val="24"/>
          <w:szCs w:val="24"/>
        </w:rPr>
      </w:pPr>
    </w:p>
    <w:p w14:paraId="1AC3CEDA">
      <w:pPr>
        <w:pStyle w:val="99"/>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7.6 Caso o(s) índice(s) estabelecido(s) para reajustamento venha(m) a ser extinto(s) ou de qualquer forma não possa(m) mais ser utilizado(s), será(ão) adotado(s), em substituição, o(s) que vier(em) a ser determinado(s) pela legislação então em vigor.</w:t>
      </w:r>
    </w:p>
    <w:p w14:paraId="64E350EB">
      <w:pPr>
        <w:pStyle w:val="99"/>
        <w:spacing w:before="0" w:after="0" w:line="288" w:lineRule="auto"/>
        <w:ind w:left="0" w:firstLine="0"/>
        <w:contextualSpacing/>
        <w:rPr>
          <w:rFonts w:ascii="Times New Roman" w:hAnsi="Times New Roman" w:cs="Times New Roman"/>
          <w:sz w:val="24"/>
          <w:szCs w:val="24"/>
        </w:rPr>
      </w:pPr>
    </w:p>
    <w:p w14:paraId="7FA42B66">
      <w:pPr>
        <w:pStyle w:val="99"/>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7.7 Na ausência de previsão legal quanto ao índice substituto, as partes elegerão novo índice oficial, para reajustamento do preço do valor remanescente, por meio de termo aditivo.</w:t>
      </w:r>
    </w:p>
    <w:p w14:paraId="5821D4B3">
      <w:pPr>
        <w:pStyle w:val="99"/>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 </w:t>
      </w:r>
    </w:p>
    <w:p w14:paraId="24E9BF8E">
      <w:pPr>
        <w:pStyle w:val="99"/>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7.8 O pedido de reajuste deverá ser formulado durante a vigência do Contrato e antes de eventual prorrogação contratual, sob pena de preclusão.</w:t>
      </w:r>
    </w:p>
    <w:p w14:paraId="36666CF9">
      <w:pPr>
        <w:spacing w:after="160" w:line="288" w:lineRule="auto"/>
        <w:contextualSpacing/>
        <w:jc w:val="both"/>
        <w:rPr>
          <w:sz w:val="24"/>
          <w:szCs w:val="24"/>
        </w:rPr>
      </w:pPr>
    </w:p>
    <w:p w14:paraId="126F63C0">
      <w:pPr>
        <w:spacing w:after="160" w:line="288" w:lineRule="auto"/>
        <w:contextualSpacing/>
        <w:jc w:val="both"/>
        <w:rPr>
          <w:sz w:val="24"/>
          <w:szCs w:val="24"/>
        </w:rPr>
      </w:pPr>
      <w:r>
        <w:rPr>
          <w:sz w:val="24"/>
          <w:szCs w:val="24"/>
        </w:rPr>
        <w:t>7.8.1 Os efeitos financeiros do pedido de reajuste serão contados:</w:t>
      </w:r>
    </w:p>
    <w:p w14:paraId="565287AD">
      <w:pPr>
        <w:spacing w:line="288" w:lineRule="auto"/>
        <w:contextualSpacing/>
        <w:jc w:val="both"/>
        <w:rPr>
          <w:sz w:val="24"/>
          <w:szCs w:val="24"/>
        </w:rPr>
      </w:pPr>
      <w:r>
        <w:rPr>
          <w:sz w:val="24"/>
          <w:szCs w:val="24"/>
        </w:rPr>
        <w:t>a) da data-base prevista no Contrato, desde que requerido o reajuste no prazo de 60 (sessenta) dias da data de publicação do índice ajustado contratualmente;</w:t>
      </w:r>
    </w:p>
    <w:p w14:paraId="372BEA44">
      <w:pPr>
        <w:spacing w:line="288" w:lineRule="auto"/>
        <w:ind w:left="40"/>
        <w:contextualSpacing/>
        <w:jc w:val="both"/>
        <w:rPr>
          <w:sz w:val="24"/>
          <w:szCs w:val="24"/>
        </w:rPr>
      </w:pPr>
      <w:r>
        <w:rPr>
          <w:sz w:val="24"/>
          <w:szCs w:val="24"/>
        </w:rPr>
        <w:t xml:space="preserve">b) a partir da data do requerimento do </w:t>
      </w:r>
      <w:r>
        <w:rPr>
          <w:b/>
          <w:bCs/>
          <w:sz w:val="24"/>
          <w:szCs w:val="24"/>
        </w:rPr>
        <w:t>CONTRATADO</w:t>
      </w:r>
      <w:r>
        <w:rPr>
          <w:sz w:val="24"/>
          <w:szCs w:val="24"/>
        </w:rPr>
        <w:t xml:space="preserve">, caso o pedido seja formulado após o prazo fixado na alínea </w:t>
      </w:r>
      <w:r>
        <w:rPr>
          <w:sz w:val="24"/>
          <w:szCs w:val="24"/>
          <w:u w:val="single"/>
        </w:rPr>
        <w:t>a</w:t>
      </w:r>
      <w:r>
        <w:rPr>
          <w:sz w:val="24"/>
          <w:szCs w:val="24"/>
        </w:rPr>
        <w:t>, acima, o que não acarretará a alteração do marco para cômputo da anualidade do reajustamento, já adotado no Edital e no Contrato.</w:t>
      </w:r>
    </w:p>
    <w:p w14:paraId="2AC6F431">
      <w:pPr>
        <w:spacing w:line="288" w:lineRule="auto"/>
        <w:ind w:left="40"/>
        <w:contextualSpacing/>
        <w:jc w:val="both"/>
        <w:rPr>
          <w:sz w:val="24"/>
          <w:szCs w:val="24"/>
        </w:rPr>
      </w:pPr>
    </w:p>
    <w:p w14:paraId="2D92CC33">
      <w:pPr>
        <w:spacing w:line="288" w:lineRule="auto"/>
        <w:ind w:left="40"/>
        <w:contextualSpacing/>
        <w:jc w:val="both"/>
        <w:rPr>
          <w:sz w:val="24"/>
          <w:szCs w:val="24"/>
        </w:rPr>
      </w:pPr>
      <w:r>
        <w:rPr>
          <w:sz w:val="24"/>
          <w:szCs w:val="24"/>
        </w:rPr>
        <w:t xml:space="preserve">7.9 Caso, na data de eventual prorrogação contratual, ainda não tenha sido divulgado o índice de reajuste, deverá, a requerimento do </w:t>
      </w:r>
      <w:r>
        <w:rPr>
          <w:b/>
          <w:bCs/>
          <w:sz w:val="24"/>
          <w:szCs w:val="24"/>
        </w:rPr>
        <w:t>CONTRATADO</w:t>
      </w:r>
      <w:r>
        <w:rPr>
          <w:sz w:val="24"/>
          <w:szCs w:val="24"/>
        </w:rPr>
        <w:t xml:space="preserve">, ser inserida cláusula no termo aditivo de prorrogação para resguardar o direito futuro do </w:t>
      </w:r>
      <w:r>
        <w:rPr>
          <w:b/>
          <w:bCs/>
          <w:sz w:val="24"/>
          <w:szCs w:val="24"/>
        </w:rPr>
        <w:t>CONTRATADO</w:t>
      </w:r>
      <w:r>
        <w:rPr>
          <w:sz w:val="24"/>
          <w:szCs w:val="24"/>
        </w:rPr>
        <w:t>, a ser exercido tão logo se disponha dos valores reajustados, sob pena de preclusão.</w:t>
      </w:r>
    </w:p>
    <w:p w14:paraId="73B0968B">
      <w:pPr>
        <w:spacing w:line="288" w:lineRule="auto"/>
        <w:ind w:left="40"/>
        <w:contextualSpacing/>
        <w:jc w:val="both"/>
        <w:rPr>
          <w:sz w:val="24"/>
          <w:szCs w:val="24"/>
        </w:rPr>
      </w:pPr>
    </w:p>
    <w:p w14:paraId="588C406A">
      <w:pPr>
        <w:spacing w:line="288" w:lineRule="auto"/>
        <w:ind w:left="40"/>
        <w:contextualSpacing/>
        <w:jc w:val="both"/>
        <w:rPr>
          <w:sz w:val="24"/>
          <w:szCs w:val="24"/>
        </w:rPr>
      </w:pPr>
      <w:r>
        <w:rPr>
          <w:sz w:val="24"/>
          <w:szCs w:val="24"/>
        </w:rPr>
        <w:t>7.10 A extinção do Contrato não configurará óbice para o deferimento do reajuste solicitado tempestivamente, hipótese em que será concedido por meio de termo indenizatório.</w:t>
      </w:r>
    </w:p>
    <w:p w14:paraId="17900E55">
      <w:pPr>
        <w:pStyle w:val="99"/>
        <w:spacing w:before="0" w:after="0" w:line="288" w:lineRule="auto"/>
        <w:ind w:left="0" w:firstLine="0"/>
        <w:contextualSpacing/>
        <w:rPr>
          <w:rFonts w:ascii="Times New Roman" w:hAnsi="Times New Roman" w:cs="Times New Roman"/>
          <w:sz w:val="24"/>
          <w:szCs w:val="24"/>
        </w:rPr>
      </w:pPr>
    </w:p>
    <w:p w14:paraId="0C8294F8">
      <w:pPr>
        <w:pStyle w:val="99"/>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7.11 O reajuste será realizado por apostilamento, se esta for a única alteração contratual a ser realizada.</w:t>
      </w:r>
    </w:p>
    <w:p w14:paraId="0899A984">
      <w:pPr>
        <w:pStyle w:val="99"/>
        <w:spacing w:before="0" w:after="0" w:line="288" w:lineRule="auto"/>
        <w:ind w:left="0" w:firstLine="0"/>
        <w:contextualSpacing/>
        <w:rPr>
          <w:rFonts w:ascii="Times New Roman" w:hAnsi="Times New Roman" w:cs="Times New Roman"/>
          <w:color w:val="auto"/>
          <w:sz w:val="24"/>
          <w:szCs w:val="24"/>
        </w:rPr>
      </w:pPr>
    </w:p>
    <w:p w14:paraId="0A08E202">
      <w:pPr>
        <w:pStyle w:val="108"/>
        <w:numPr>
          <w:ilvl w:val="0"/>
          <w:numId w:val="0"/>
        </w:numPr>
        <w:spacing w:before="0" w:after="0" w:line="288" w:lineRule="auto"/>
        <w:contextualSpacing/>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t xml:space="preserve">7.12 O reajuste de preços não interfere no direito das partes de solicitar, a qualquer momento, a manutenção do equilíbrio econômico dos contratos com base no disposto no art. 124, inciso II, alínea d, da Lei nº 14.133/2021. </w:t>
      </w:r>
    </w:p>
    <w:p w14:paraId="11D30AEC">
      <w:pPr>
        <w:pStyle w:val="108"/>
        <w:numPr>
          <w:ilvl w:val="0"/>
          <w:numId w:val="0"/>
        </w:numPr>
        <w:spacing w:before="0" w:after="0" w:line="288" w:lineRule="auto"/>
        <w:contextualSpacing/>
        <w:rPr>
          <w:rFonts w:ascii="Times New Roman" w:hAnsi="Times New Roman" w:cs="Times New Roman"/>
          <w:i w:val="0"/>
          <w:iCs w:val="0"/>
          <w:color w:val="auto"/>
          <w:sz w:val="24"/>
          <w:szCs w:val="24"/>
        </w:rPr>
      </w:pPr>
    </w:p>
    <w:p w14:paraId="6856A8F1">
      <w:pPr>
        <w:pStyle w:val="108"/>
        <w:numPr>
          <w:ilvl w:val="0"/>
          <w:numId w:val="0"/>
        </w:numPr>
        <w:spacing w:before="0" w:after="0" w:line="288" w:lineRule="auto"/>
        <w:contextualSpacing/>
        <w:rPr>
          <w:rFonts w:ascii="Times New Roman" w:hAnsi="Times New Roman" w:cs="Times New Roman"/>
          <w:b/>
          <w:bCs/>
          <w:i w:val="0"/>
          <w:iCs w:val="0"/>
          <w:color w:val="auto"/>
          <w:sz w:val="24"/>
          <w:szCs w:val="24"/>
        </w:rPr>
      </w:pPr>
      <w:r>
        <w:rPr>
          <w:rFonts w:ascii="Times New Roman" w:hAnsi="Times New Roman" w:cs="Times New Roman"/>
          <w:b/>
          <w:bCs/>
          <w:i w:val="0"/>
          <w:iCs w:val="0"/>
          <w:color w:val="auto"/>
          <w:sz w:val="24"/>
          <w:szCs w:val="24"/>
        </w:rPr>
        <w:t>CLÁUSULA OITAVA – OBRIGAÇÕES DO CONTRATANTE</w:t>
      </w:r>
    </w:p>
    <w:p w14:paraId="5F9C2201">
      <w:pPr>
        <w:pStyle w:val="108"/>
        <w:numPr>
          <w:ilvl w:val="0"/>
          <w:numId w:val="0"/>
        </w:numPr>
        <w:spacing w:before="0" w:after="0" w:line="288" w:lineRule="auto"/>
        <w:contextualSpacing/>
        <w:rPr>
          <w:rFonts w:ascii="Times New Roman" w:hAnsi="Times New Roman" w:cs="Times New Roman"/>
          <w:i w:val="0"/>
          <w:iCs w:val="0"/>
          <w:color w:val="auto"/>
          <w:sz w:val="24"/>
          <w:szCs w:val="24"/>
        </w:rPr>
      </w:pPr>
    </w:p>
    <w:p w14:paraId="03D17541">
      <w:pPr>
        <w:pStyle w:val="108"/>
        <w:numPr>
          <w:ilvl w:val="0"/>
          <w:numId w:val="0"/>
        </w:numPr>
        <w:spacing w:before="0" w:after="0" w:line="288" w:lineRule="auto"/>
        <w:contextualSpacing/>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t xml:space="preserve">8.1 São obrigações do </w:t>
      </w:r>
      <w:r>
        <w:rPr>
          <w:rFonts w:ascii="Times New Roman" w:hAnsi="Times New Roman" w:cs="Times New Roman"/>
          <w:b/>
          <w:bCs/>
          <w:i w:val="0"/>
          <w:iCs w:val="0"/>
          <w:color w:val="auto"/>
          <w:sz w:val="24"/>
          <w:szCs w:val="24"/>
        </w:rPr>
        <w:t>CONTRATANTE</w:t>
      </w:r>
      <w:r>
        <w:rPr>
          <w:rFonts w:ascii="Times New Roman" w:hAnsi="Times New Roman" w:cs="Times New Roman"/>
          <w:i w:val="0"/>
          <w:iCs w:val="0"/>
          <w:color w:val="auto"/>
          <w:sz w:val="24"/>
          <w:szCs w:val="24"/>
        </w:rPr>
        <w:t>:</w:t>
      </w:r>
    </w:p>
    <w:p w14:paraId="158BFFE1">
      <w:pPr>
        <w:pStyle w:val="108"/>
        <w:numPr>
          <w:ilvl w:val="0"/>
          <w:numId w:val="0"/>
        </w:numPr>
        <w:spacing w:before="0" w:after="0" w:line="288" w:lineRule="auto"/>
        <w:contextualSpacing/>
        <w:rPr>
          <w:rFonts w:ascii="Times New Roman" w:hAnsi="Times New Roman" w:cs="Times New Roman"/>
          <w:i w:val="0"/>
          <w:iCs w:val="0"/>
          <w:color w:val="auto"/>
          <w:sz w:val="24"/>
          <w:szCs w:val="24"/>
        </w:rPr>
      </w:pPr>
    </w:p>
    <w:p w14:paraId="36E4163B">
      <w:pPr>
        <w:pStyle w:val="108"/>
        <w:numPr>
          <w:ilvl w:val="0"/>
          <w:numId w:val="0"/>
        </w:numPr>
        <w:spacing w:before="0" w:after="0" w:line="288" w:lineRule="auto"/>
        <w:contextualSpacing/>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t xml:space="preserve">8.1.1 Exigir o cumprimento de todas as obrigações assumidas pelo </w:t>
      </w:r>
      <w:r>
        <w:rPr>
          <w:rFonts w:ascii="Times New Roman" w:hAnsi="Times New Roman" w:cs="Times New Roman"/>
          <w:b/>
          <w:bCs/>
          <w:i w:val="0"/>
          <w:iCs w:val="0"/>
          <w:color w:val="auto"/>
          <w:sz w:val="24"/>
          <w:szCs w:val="24"/>
        </w:rPr>
        <w:t>CONTRATADO</w:t>
      </w:r>
      <w:r>
        <w:rPr>
          <w:rFonts w:ascii="Times New Roman" w:hAnsi="Times New Roman" w:cs="Times New Roman"/>
          <w:i w:val="0"/>
          <w:iCs w:val="0"/>
          <w:color w:val="auto"/>
          <w:sz w:val="24"/>
          <w:szCs w:val="24"/>
        </w:rPr>
        <w:t>, de acordo com o Contrato e seus Anexos.</w:t>
      </w:r>
    </w:p>
    <w:p w14:paraId="6735B7D0">
      <w:pPr>
        <w:pStyle w:val="108"/>
        <w:numPr>
          <w:ilvl w:val="0"/>
          <w:numId w:val="0"/>
        </w:numPr>
        <w:spacing w:before="0" w:after="0" w:line="288" w:lineRule="auto"/>
        <w:contextualSpacing/>
        <w:rPr>
          <w:rFonts w:ascii="Times New Roman" w:hAnsi="Times New Roman" w:cs="Times New Roman"/>
          <w:i w:val="0"/>
          <w:iCs w:val="0"/>
          <w:color w:val="auto"/>
          <w:sz w:val="24"/>
          <w:szCs w:val="24"/>
        </w:rPr>
      </w:pPr>
    </w:p>
    <w:p w14:paraId="12D9935D">
      <w:pPr>
        <w:pStyle w:val="108"/>
        <w:numPr>
          <w:ilvl w:val="0"/>
          <w:numId w:val="0"/>
        </w:numPr>
        <w:spacing w:before="0" w:after="0" w:line="288" w:lineRule="auto"/>
        <w:contextualSpacing/>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t>8.1.2 Receber o objeto no prazo e condições estabelecidas no Termo de Referência.</w:t>
      </w:r>
    </w:p>
    <w:p w14:paraId="3FF7005F">
      <w:pPr>
        <w:pStyle w:val="108"/>
        <w:numPr>
          <w:ilvl w:val="0"/>
          <w:numId w:val="0"/>
        </w:numPr>
        <w:spacing w:before="0" w:after="0" w:line="288" w:lineRule="auto"/>
        <w:contextualSpacing/>
        <w:rPr>
          <w:rFonts w:ascii="Times New Roman" w:hAnsi="Times New Roman" w:cs="Times New Roman"/>
          <w:i w:val="0"/>
          <w:iCs w:val="0"/>
          <w:color w:val="auto"/>
          <w:sz w:val="24"/>
          <w:szCs w:val="24"/>
        </w:rPr>
      </w:pPr>
    </w:p>
    <w:p w14:paraId="01D60F16">
      <w:pPr>
        <w:pStyle w:val="108"/>
        <w:numPr>
          <w:ilvl w:val="0"/>
          <w:numId w:val="0"/>
        </w:numPr>
        <w:spacing w:before="0" w:after="0" w:line="288" w:lineRule="auto"/>
        <w:contextualSpacing/>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t xml:space="preserve">8.1.3 Notificar o </w:t>
      </w:r>
      <w:r>
        <w:rPr>
          <w:rFonts w:ascii="Times New Roman" w:hAnsi="Times New Roman" w:cs="Times New Roman"/>
          <w:b/>
          <w:bCs/>
          <w:i w:val="0"/>
          <w:iCs w:val="0"/>
          <w:color w:val="auto"/>
          <w:sz w:val="24"/>
          <w:szCs w:val="24"/>
        </w:rPr>
        <w:t>CONTRATADO</w:t>
      </w:r>
      <w:r>
        <w:rPr>
          <w:rFonts w:ascii="Times New Roman" w:hAnsi="Times New Roman" w:cs="Times New Roman"/>
          <w:i w:val="0"/>
          <w:iCs w:val="0"/>
          <w:color w:val="auto"/>
          <w:sz w:val="24"/>
          <w:szCs w:val="24"/>
        </w:rPr>
        <w:t>, por escrito, sobre vícios, defeitos ou incorreções verificadas no objeto fornecido, para que seja por ele substituído, reparado ou corrigido, no total ou em parte, às suas expensas.</w:t>
      </w:r>
    </w:p>
    <w:p w14:paraId="0C0D78EA">
      <w:pPr>
        <w:pStyle w:val="108"/>
        <w:numPr>
          <w:ilvl w:val="0"/>
          <w:numId w:val="0"/>
        </w:numPr>
        <w:spacing w:before="0" w:after="0" w:line="288" w:lineRule="auto"/>
        <w:contextualSpacing/>
        <w:rPr>
          <w:rFonts w:ascii="Times New Roman" w:hAnsi="Times New Roman" w:cs="Times New Roman"/>
          <w:i w:val="0"/>
          <w:iCs w:val="0"/>
          <w:color w:val="auto"/>
          <w:sz w:val="24"/>
          <w:szCs w:val="24"/>
        </w:rPr>
      </w:pPr>
    </w:p>
    <w:p w14:paraId="7BE46C24">
      <w:pPr>
        <w:pStyle w:val="108"/>
        <w:numPr>
          <w:ilvl w:val="0"/>
          <w:numId w:val="0"/>
        </w:numPr>
        <w:spacing w:before="0" w:after="0" w:line="288" w:lineRule="auto"/>
        <w:contextualSpacing/>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t xml:space="preserve">8.1.4 Acompanhar e fiscalizar a execução do Contrato e o cumprimento das obrigações pelo </w:t>
      </w:r>
      <w:r>
        <w:rPr>
          <w:rFonts w:ascii="Times New Roman" w:hAnsi="Times New Roman" w:cs="Times New Roman"/>
          <w:b/>
          <w:bCs/>
          <w:i w:val="0"/>
          <w:iCs w:val="0"/>
          <w:color w:val="auto"/>
          <w:sz w:val="24"/>
          <w:szCs w:val="24"/>
        </w:rPr>
        <w:t>CONTRATADO</w:t>
      </w:r>
      <w:r>
        <w:rPr>
          <w:rFonts w:ascii="Times New Roman" w:hAnsi="Times New Roman" w:cs="Times New Roman"/>
          <w:i w:val="0"/>
          <w:iCs w:val="0"/>
          <w:color w:val="auto"/>
          <w:sz w:val="24"/>
          <w:szCs w:val="24"/>
        </w:rPr>
        <w:t>.</w:t>
      </w:r>
    </w:p>
    <w:p w14:paraId="0515AEB0">
      <w:pPr>
        <w:pStyle w:val="101"/>
        <w:spacing w:before="0" w:line="288" w:lineRule="auto"/>
        <w:ind w:left="0" w:firstLine="0"/>
        <w:contextualSpacing/>
        <w:rPr>
          <w:rFonts w:ascii="Times New Roman" w:hAnsi="Times New Roman" w:cs="Times New Roman"/>
          <w:b w:val="0"/>
          <w:bCs w:val="0"/>
          <w:sz w:val="24"/>
          <w:szCs w:val="24"/>
        </w:rPr>
      </w:pPr>
    </w:p>
    <w:p w14:paraId="2BDB45D1">
      <w:pPr>
        <w:pStyle w:val="101"/>
        <w:spacing w:before="0" w:line="288" w:lineRule="auto"/>
        <w:ind w:left="0" w:firstLine="0"/>
        <w:contextualSpacing/>
        <w:rPr>
          <w:rFonts w:ascii="Times New Roman" w:hAnsi="Times New Roman" w:cs="Times New Roman"/>
          <w:b w:val="0"/>
          <w:bCs w:val="0"/>
          <w:sz w:val="24"/>
          <w:szCs w:val="24"/>
        </w:rPr>
      </w:pPr>
      <w:r>
        <w:rPr>
          <w:rFonts w:ascii="Times New Roman" w:hAnsi="Times New Roman" w:cs="Times New Roman"/>
          <w:b w:val="0"/>
          <w:bCs w:val="0"/>
          <w:sz w:val="24"/>
          <w:szCs w:val="24"/>
        </w:rPr>
        <w:t xml:space="preserve">8.1.5 Comunicar ao </w:t>
      </w:r>
      <w:r>
        <w:rPr>
          <w:rFonts w:ascii="Times New Roman" w:hAnsi="Times New Roman" w:cs="Times New Roman"/>
          <w:sz w:val="24"/>
          <w:szCs w:val="24"/>
        </w:rPr>
        <w:t>CONTRATADO</w:t>
      </w:r>
      <w:r>
        <w:rPr>
          <w:rFonts w:ascii="Times New Roman" w:hAnsi="Times New Roman" w:cs="Times New Roman"/>
          <w:b w:val="0"/>
          <w:bCs w:val="0"/>
          <w:sz w:val="24"/>
          <w:szCs w:val="24"/>
        </w:rPr>
        <w:t xml:space="preserve"> para que emita Nota Fiscal relativa à parcela incontroversa da execução do objeto, com vistas à liquidação e pagamento, no caso de divergência acerca do cumprimento das obrigações assumidas, quanto à dimensão, qualidade e quantidade, conforme o </w:t>
      </w:r>
      <w:r>
        <w:fldChar w:fldCharType="begin"/>
      </w:r>
      <w:r>
        <w:instrText xml:space="preserve"> HYPERLINK "http://www.planalto.gov.br/ccivil_03/_ato2019-2022/2021/lei/L14133.htm" \l "art143" </w:instrText>
      </w:r>
      <w:r>
        <w:fldChar w:fldCharType="separate"/>
      </w:r>
      <w:r>
        <w:rPr>
          <w:rStyle w:val="16"/>
          <w:rFonts w:ascii="Times New Roman" w:hAnsi="Times New Roman" w:cs="Times New Roman" w:eastAsiaTheme="minorHAnsi"/>
          <w:b w:val="0"/>
          <w:bCs w:val="0"/>
          <w:sz w:val="24"/>
          <w:szCs w:val="24"/>
        </w:rPr>
        <w:t>art. 143 da Lei nº 14.133/2021</w:t>
      </w:r>
      <w:r>
        <w:rPr>
          <w:rStyle w:val="16"/>
          <w:rFonts w:ascii="Times New Roman" w:hAnsi="Times New Roman" w:cs="Times New Roman" w:eastAsiaTheme="minorHAnsi"/>
          <w:b w:val="0"/>
          <w:bCs w:val="0"/>
          <w:sz w:val="24"/>
          <w:szCs w:val="24"/>
        </w:rPr>
        <w:fldChar w:fldCharType="end"/>
      </w:r>
      <w:r>
        <w:rPr>
          <w:rFonts w:ascii="Times New Roman" w:hAnsi="Times New Roman" w:cs="Times New Roman"/>
          <w:b w:val="0"/>
          <w:bCs w:val="0"/>
          <w:sz w:val="24"/>
          <w:szCs w:val="24"/>
        </w:rPr>
        <w:t>.</w:t>
      </w:r>
    </w:p>
    <w:p w14:paraId="16123F64">
      <w:pPr>
        <w:pStyle w:val="101"/>
        <w:spacing w:before="0" w:line="288" w:lineRule="auto"/>
        <w:ind w:left="0" w:firstLine="0"/>
        <w:contextualSpacing/>
        <w:rPr>
          <w:rFonts w:ascii="Times New Roman" w:hAnsi="Times New Roman" w:cs="Times New Roman"/>
          <w:b w:val="0"/>
          <w:bCs w:val="0"/>
          <w:sz w:val="24"/>
          <w:szCs w:val="24"/>
        </w:rPr>
      </w:pPr>
    </w:p>
    <w:p w14:paraId="55169859">
      <w:pPr>
        <w:pStyle w:val="101"/>
        <w:spacing w:before="0" w:line="288" w:lineRule="auto"/>
        <w:ind w:left="0" w:firstLine="0"/>
        <w:contextualSpacing/>
        <w:rPr>
          <w:rFonts w:ascii="Times New Roman" w:hAnsi="Times New Roman" w:cs="Times New Roman"/>
          <w:b w:val="0"/>
          <w:bCs w:val="0"/>
          <w:sz w:val="24"/>
          <w:szCs w:val="24"/>
        </w:rPr>
      </w:pPr>
      <w:r>
        <w:rPr>
          <w:rFonts w:ascii="Times New Roman" w:hAnsi="Times New Roman" w:cs="Times New Roman"/>
          <w:b w:val="0"/>
          <w:bCs w:val="0"/>
          <w:sz w:val="24"/>
          <w:szCs w:val="24"/>
        </w:rPr>
        <w:t xml:space="preserve">8.1.6 Efetuar o pagamento ao </w:t>
      </w:r>
      <w:r>
        <w:rPr>
          <w:rFonts w:ascii="Times New Roman" w:hAnsi="Times New Roman" w:cs="Times New Roman"/>
          <w:sz w:val="24"/>
          <w:szCs w:val="24"/>
        </w:rPr>
        <w:t>CONTRATADO</w:t>
      </w:r>
      <w:r>
        <w:rPr>
          <w:rFonts w:ascii="Times New Roman" w:hAnsi="Times New Roman" w:cs="Times New Roman"/>
          <w:b w:val="0"/>
          <w:bCs w:val="0"/>
          <w:sz w:val="24"/>
          <w:szCs w:val="24"/>
        </w:rPr>
        <w:t xml:space="preserve"> do valor correspondente ao fornecimento do objeto, no prazo, forma e condições estabelecidos no presente Contrato.</w:t>
      </w:r>
    </w:p>
    <w:p w14:paraId="5EDF70F0">
      <w:pPr>
        <w:pStyle w:val="101"/>
        <w:spacing w:before="0" w:line="288" w:lineRule="auto"/>
        <w:ind w:left="0" w:firstLine="0"/>
        <w:contextualSpacing/>
        <w:rPr>
          <w:rFonts w:ascii="Times New Roman" w:hAnsi="Times New Roman" w:cs="Times New Roman"/>
          <w:b w:val="0"/>
          <w:bCs w:val="0"/>
          <w:sz w:val="24"/>
          <w:szCs w:val="24"/>
        </w:rPr>
      </w:pPr>
    </w:p>
    <w:p w14:paraId="3CFC8287">
      <w:pPr>
        <w:pStyle w:val="101"/>
        <w:spacing w:before="0" w:line="288" w:lineRule="auto"/>
        <w:ind w:left="0" w:firstLine="0"/>
        <w:contextualSpacing/>
        <w:rPr>
          <w:rFonts w:ascii="Times New Roman" w:hAnsi="Times New Roman" w:cs="Times New Roman"/>
          <w:b w:val="0"/>
          <w:bCs w:val="0"/>
          <w:sz w:val="24"/>
          <w:szCs w:val="24"/>
        </w:rPr>
      </w:pPr>
      <w:r>
        <w:rPr>
          <w:rFonts w:ascii="Times New Roman" w:hAnsi="Times New Roman" w:cs="Times New Roman"/>
          <w:b w:val="0"/>
          <w:bCs w:val="0"/>
          <w:sz w:val="24"/>
          <w:szCs w:val="24"/>
        </w:rPr>
        <w:t xml:space="preserve">8.1.7 Aplicar ao </w:t>
      </w:r>
      <w:r>
        <w:rPr>
          <w:rFonts w:ascii="Times New Roman" w:hAnsi="Times New Roman" w:cs="Times New Roman"/>
          <w:sz w:val="24"/>
          <w:szCs w:val="24"/>
        </w:rPr>
        <w:t>CONTRATADO</w:t>
      </w:r>
      <w:r>
        <w:rPr>
          <w:rFonts w:ascii="Times New Roman" w:hAnsi="Times New Roman" w:cs="Times New Roman"/>
          <w:b w:val="0"/>
          <w:bCs w:val="0"/>
          <w:sz w:val="24"/>
          <w:szCs w:val="24"/>
        </w:rPr>
        <w:t xml:space="preserve"> sanções motivadas pela inexecução total ou parcial das obrigações contratuais, na forma prevista na lei e neste Contrato.</w:t>
      </w:r>
    </w:p>
    <w:p w14:paraId="3E2838A1">
      <w:pPr>
        <w:pStyle w:val="99"/>
        <w:spacing w:before="0" w:after="0" w:line="288" w:lineRule="auto"/>
        <w:ind w:left="0" w:firstLine="0"/>
        <w:contextualSpacing/>
        <w:rPr>
          <w:rFonts w:ascii="Times New Roman" w:hAnsi="Times New Roman" w:cs="Times New Roman"/>
          <w:sz w:val="24"/>
          <w:szCs w:val="24"/>
        </w:rPr>
      </w:pPr>
    </w:p>
    <w:p w14:paraId="28114C2F">
      <w:pPr>
        <w:pStyle w:val="99"/>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8.1.8 Dar ciência à Assessoria Jurídica do órgão ou entidade para as providências junto à Procuradoria Geral do Município, com vistas à adoção de eventuais medidas judiciais, em caso de descumprimento de obrigações pelo </w:t>
      </w:r>
      <w:r>
        <w:rPr>
          <w:rFonts w:ascii="Times New Roman" w:hAnsi="Times New Roman" w:cs="Times New Roman"/>
          <w:b/>
          <w:bCs/>
          <w:sz w:val="24"/>
          <w:szCs w:val="24"/>
        </w:rPr>
        <w:t>CONTRATADO</w:t>
      </w:r>
      <w:r>
        <w:rPr>
          <w:rFonts w:ascii="Times New Roman" w:hAnsi="Times New Roman" w:cs="Times New Roman"/>
          <w:sz w:val="24"/>
          <w:szCs w:val="24"/>
        </w:rPr>
        <w:t>.</w:t>
      </w:r>
    </w:p>
    <w:p w14:paraId="3AA47CCB">
      <w:pPr>
        <w:pStyle w:val="99"/>
        <w:spacing w:before="0" w:after="0" w:line="288" w:lineRule="auto"/>
        <w:ind w:left="0" w:firstLine="0"/>
        <w:contextualSpacing/>
        <w:rPr>
          <w:rFonts w:ascii="Times New Roman" w:hAnsi="Times New Roman" w:cs="Times New Roman"/>
          <w:sz w:val="24"/>
          <w:szCs w:val="24"/>
        </w:rPr>
      </w:pPr>
    </w:p>
    <w:p w14:paraId="535449CB">
      <w:pPr>
        <w:pStyle w:val="99"/>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8.1.9 Emitir decisão fundamentada sobre todas as solicitações e reclamações relacionadas à execução do presente Contrato, ressalvados os requerimentos manifestamente impertinentes, meramente protelatórios ou de nenhum interesse para a boa execução do ajuste.</w:t>
      </w:r>
    </w:p>
    <w:p w14:paraId="639FC69D">
      <w:pPr>
        <w:pStyle w:val="99"/>
        <w:spacing w:before="0" w:after="0" w:line="288" w:lineRule="auto"/>
        <w:ind w:left="0" w:firstLine="0"/>
        <w:contextualSpacing/>
        <w:rPr>
          <w:rFonts w:ascii="Times New Roman" w:hAnsi="Times New Roman" w:cs="Times New Roman"/>
          <w:sz w:val="24"/>
          <w:szCs w:val="24"/>
        </w:rPr>
      </w:pPr>
    </w:p>
    <w:p w14:paraId="03935506">
      <w:pPr>
        <w:pStyle w:val="99"/>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8.1.9.1 O </w:t>
      </w:r>
      <w:r>
        <w:rPr>
          <w:rFonts w:ascii="Times New Roman" w:hAnsi="Times New Roman" w:cs="Times New Roman"/>
          <w:b/>
          <w:bCs/>
          <w:sz w:val="24"/>
          <w:szCs w:val="24"/>
        </w:rPr>
        <w:t>CONTRATANTE</w:t>
      </w:r>
      <w:r>
        <w:rPr>
          <w:rFonts w:ascii="Times New Roman" w:hAnsi="Times New Roman" w:cs="Times New Roman"/>
          <w:sz w:val="24"/>
          <w:szCs w:val="24"/>
        </w:rPr>
        <w:t xml:space="preserve"> terá o prazo de 1 (um) mês, a contar da data do protocolo do requerimento, para decidir, admitida a prorrogação motivada, por igual período. </w:t>
      </w:r>
    </w:p>
    <w:p w14:paraId="46316E71">
      <w:pPr>
        <w:pStyle w:val="99"/>
        <w:spacing w:before="0" w:after="0" w:line="288" w:lineRule="auto"/>
        <w:ind w:left="0" w:firstLine="0"/>
        <w:contextualSpacing/>
        <w:rPr>
          <w:rFonts w:ascii="Times New Roman" w:hAnsi="Times New Roman" w:cs="Times New Roman"/>
          <w:sz w:val="24"/>
          <w:szCs w:val="24"/>
        </w:rPr>
      </w:pPr>
    </w:p>
    <w:p w14:paraId="7166C5C8">
      <w:pPr>
        <w:pStyle w:val="99"/>
        <w:spacing w:before="0" w:after="0" w:line="288" w:lineRule="auto"/>
        <w:ind w:left="0" w:firstLine="0"/>
        <w:contextualSpacing/>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sz w:val="24"/>
          <w:szCs w:val="24"/>
        </w:rPr>
        <w:t xml:space="preserve">8.1.10 Responder aos eventuais pedidos de reestabelecimento do equilíbrio econômico-financeiro feitos pelo </w:t>
      </w:r>
      <w:r>
        <w:rPr>
          <w:rFonts w:ascii="Times New Roman" w:hAnsi="Times New Roman" w:cs="Times New Roman"/>
          <w:b/>
          <w:bCs/>
          <w:sz w:val="24"/>
          <w:szCs w:val="24"/>
        </w:rPr>
        <w:t>CONTRATADO</w:t>
      </w:r>
      <w:r>
        <w:rPr>
          <w:rFonts w:ascii="Times New Roman" w:hAnsi="Times New Roman" w:cs="Times New Roman"/>
          <w:sz w:val="24"/>
          <w:szCs w:val="24"/>
        </w:rPr>
        <w:t xml:space="preserve"> no prazo máximo de </w:t>
      </w:r>
      <w:r>
        <w:rPr>
          <w:rFonts w:ascii="Times New Roman" w:hAnsi="Times New Roman" w:cs="Times New Roman"/>
          <w:color w:val="000000" w:themeColor="text1"/>
          <w:sz w:val="24"/>
          <w:szCs w:val="24"/>
          <w14:textFill>
            <w14:solidFill>
              <w14:schemeClr w14:val="tx1"/>
            </w14:solidFill>
          </w14:textFill>
        </w:rPr>
        <w:t>45 (quarenta e cinco) dias, admitida a prorrogação motivada, por uma única vez, por igual período.</w:t>
      </w:r>
    </w:p>
    <w:p w14:paraId="0EBE769B">
      <w:pPr>
        <w:pStyle w:val="99"/>
        <w:spacing w:before="0" w:after="0" w:line="288" w:lineRule="auto"/>
        <w:ind w:left="0" w:firstLine="0"/>
        <w:contextualSpacing/>
        <w:rPr>
          <w:rFonts w:ascii="Times New Roman" w:hAnsi="Times New Roman" w:cs="Times New Roman"/>
          <w:color w:val="FF0000"/>
          <w:sz w:val="24"/>
          <w:szCs w:val="24"/>
        </w:rPr>
      </w:pPr>
    </w:p>
    <w:p w14:paraId="3BD8CFFB">
      <w:pPr>
        <w:pStyle w:val="99"/>
        <w:spacing w:before="0" w:after="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8.1.11 Notificar os emitentes das garantias quanto ao início de processo administrativo para apuração de descumprimento de cláusulas contratuais, na forma do art. 137, § 4º, da Lei nº 14.133/2021.</w:t>
      </w:r>
    </w:p>
    <w:p w14:paraId="07AFA874">
      <w:pPr>
        <w:pStyle w:val="99"/>
        <w:spacing w:before="0" w:after="0" w:line="288" w:lineRule="auto"/>
        <w:ind w:left="0" w:firstLine="0"/>
        <w:contextualSpacing/>
        <w:rPr>
          <w:rFonts w:ascii="Times New Roman" w:hAnsi="Times New Roman" w:cs="Times New Roman"/>
          <w:sz w:val="24"/>
          <w:szCs w:val="24"/>
        </w:rPr>
      </w:pPr>
    </w:p>
    <w:p w14:paraId="78DE1C90">
      <w:pPr>
        <w:pStyle w:val="99"/>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8.1.12 A Administração não responderá por quaisquer compromissos assumidos pelo </w:t>
      </w:r>
      <w:r>
        <w:rPr>
          <w:rFonts w:ascii="Times New Roman" w:hAnsi="Times New Roman" w:cs="Times New Roman"/>
          <w:b/>
          <w:bCs/>
          <w:sz w:val="24"/>
          <w:szCs w:val="24"/>
        </w:rPr>
        <w:t>CONTRATADO</w:t>
      </w:r>
      <w:r>
        <w:rPr>
          <w:rFonts w:ascii="Times New Roman" w:hAnsi="Times New Roman" w:cs="Times New Roman"/>
          <w:sz w:val="24"/>
          <w:szCs w:val="24"/>
        </w:rPr>
        <w:t xml:space="preserve"> perante terceiros, ainda que vinculados à execução do Contrato, bem como por qualquer dano causado a terceiros em decorrência de ato do </w:t>
      </w:r>
      <w:r>
        <w:rPr>
          <w:rFonts w:ascii="Times New Roman" w:hAnsi="Times New Roman" w:cs="Times New Roman"/>
          <w:b/>
          <w:bCs/>
          <w:sz w:val="24"/>
          <w:szCs w:val="24"/>
        </w:rPr>
        <w:t>CONTRATADO</w:t>
      </w:r>
      <w:r>
        <w:rPr>
          <w:rFonts w:ascii="Times New Roman" w:hAnsi="Times New Roman" w:cs="Times New Roman"/>
          <w:sz w:val="24"/>
          <w:szCs w:val="24"/>
        </w:rPr>
        <w:t>, de seus empregados, prepostos ou subordinados.</w:t>
      </w:r>
    </w:p>
    <w:p w14:paraId="7BFAC9E1">
      <w:pPr>
        <w:spacing w:line="288" w:lineRule="auto"/>
        <w:contextualSpacing/>
        <w:jc w:val="both"/>
        <w:rPr>
          <w:sz w:val="24"/>
          <w:szCs w:val="24"/>
        </w:rPr>
      </w:pPr>
    </w:p>
    <w:p w14:paraId="5F1FA975">
      <w:pPr>
        <w:spacing w:line="288" w:lineRule="auto"/>
        <w:contextualSpacing/>
        <w:jc w:val="both"/>
        <w:rPr>
          <w:sz w:val="24"/>
          <w:szCs w:val="24"/>
        </w:rPr>
      </w:pPr>
      <w:r>
        <w:rPr>
          <w:sz w:val="24"/>
          <w:szCs w:val="24"/>
        </w:rPr>
        <w:t xml:space="preserve">8.1.13 O presente Contrato não configura vínculo empregatício entre os trabalhadores ou sócios do </w:t>
      </w:r>
      <w:r>
        <w:rPr>
          <w:b/>
          <w:bCs/>
          <w:sz w:val="24"/>
          <w:szCs w:val="24"/>
        </w:rPr>
        <w:t>CONTRATADO</w:t>
      </w:r>
      <w:r>
        <w:rPr>
          <w:sz w:val="24"/>
          <w:szCs w:val="24"/>
        </w:rPr>
        <w:t xml:space="preserve"> e o </w:t>
      </w:r>
      <w:r>
        <w:rPr>
          <w:b/>
          <w:bCs/>
          <w:sz w:val="24"/>
          <w:szCs w:val="24"/>
        </w:rPr>
        <w:t>CONTRATANTE</w:t>
      </w:r>
      <w:r>
        <w:rPr>
          <w:sz w:val="24"/>
          <w:szCs w:val="24"/>
        </w:rPr>
        <w:t>.</w:t>
      </w:r>
    </w:p>
    <w:p w14:paraId="5CB4DCEC">
      <w:pPr>
        <w:spacing w:line="288" w:lineRule="auto"/>
        <w:contextualSpacing/>
        <w:jc w:val="both"/>
        <w:rPr>
          <w:sz w:val="24"/>
          <w:szCs w:val="24"/>
        </w:rPr>
      </w:pPr>
    </w:p>
    <w:p w14:paraId="218C2766">
      <w:pPr>
        <w:pStyle w:val="101"/>
        <w:spacing w:before="0" w:line="288" w:lineRule="auto"/>
        <w:ind w:left="0" w:firstLine="0"/>
        <w:contextualSpacing/>
        <w:rPr>
          <w:rStyle w:val="16"/>
          <w:rFonts w:ascii="Times New Roman" w:hAnsi="Times New Roman" w:cs="Times New Roman" w:eastAsiaTheme="minorHAnsi"/>
          <w:b w:val="0"/>
          <w:bCs w:val="0"/>
          <w:sz w:val="24"/>
          <w:szCs w:val="24"/>
        </w:rPr>
      </w:pPr>
      <w:r>
        <w:rPr>
          <w:rFonts w:ascii="Times New Roman" w:hAnsi="Times New Roman" w:cs="Times New Roman"/>
          <w:sz w:val="24"/>
          <w:szCs w:val="24"/>
        </w:rPr>
        <w:t xml:space="preserve">CLÁUSULA NONA – OBRIGAÇÕES DO CONTRATADO </w:t>
      </w:r>
    </w:p>
    <w:p w14:paraId="18D0297B">
      <w:pPr>
        <w:spacing w:line="288" w:lineRule="auto"/>
        <w:contextualSpacing/>
        <w:rPr>
          <w:sz w:val="24"/>
          <w:szCs w:val="24"/>
        </w:rPr>
      </w:pPr>
    </w:p>
    <w:p w14:paraId="04D41AB8">
      <w:pPr>
        <w:pStyle w:val="101"/>
        <w:spacing w:before="0" w:line="288" w:lineRule="auto"/>
        <w:ind w:left="0" w:firstLine="0"/>
        <w:contextualSpacing/>
        <w:rPr>
          <w:rFonts w:ascii="Times New Roman" w:hAnsi="Times New Roman" w:cs="Times New Roman"/>
          <w:b w:val="0"/>
          <w:bCs w:val="0"/>
          <w:sz w:val="24"/>
          <w:szCs w:val="24"/>
        </w:rPr>
      </w:pPr>
      <w:r>
        <w:rPr>
          <w:rFonts w:ascii="Times New Roman" w:hAnsi="Times New Roman" w:cs="Times New Roman"/>
          <w:b w:val="0"/>
          <w:bCs w:val="0"/>
          <w:sz w:val="24"/>
          <w:szCs w:val="24"/>
        </w:rPr>
        <w:t xml:space="preserve">9.1 O </w:t>
      </w:r>
      <w:r>
        <w:rPr>
          <w:rFonts w:ascii="Times New Roman" w:hAnsi="Times New Roman" w:cs="Times New Roman"/>
          <w:sz w:val="24"/>
          <w:szCs w:val="24"/>
        </w:rPr>
        <w:t>CONTRATADO</w:t>
      </w:r>
      <w:r>
        <w:rPr>
          <w:rFonts w:ascii="Times New Roman" w:hAnsi="Times New Roman" w:cs="Times New Roman"/>
          <w:b w:val="0"/>
          <w:bCs w:val="0"/>
          <w:sz w:val="24"/>
          <w:szCs w:val="24"/>
        </w:rPr>
        <w:t xml:space="preserve"> deverá cumprir todas as obrigações constantes deste Contrato e em seus Anexos, assumindo como exclusivamente seus os riscos e as despesas decorrentes da boa e perfeita execução do objeto, observando, ainda, as obrigações a seguir dispostas:</w:t>
      </w:r>
    </w:p>
    <w:p w14:paraId="5811BFD0">
      <w:pPr>
        <w:pStyle w:val="101"/>
        <w:spacing w:before="0" w:line="288" w:lineRule="auto"/>
        <w:ind w:left="0" w:firstLine="0"/>
        <w:contextualSpacing/>
        <w:rPr>
          <w:rFonts w:ascii="Times New Roman" w:hAnsi="Times New Roman" w:cs="Times New Roman"/>
          <w:b w:val="0"/>
          <w:bCs w:val="0"/>
          <w:sz w:val="24"/>
          <w:szCs w:val="24"/>
        </w:rPr>
      </w:pPr>
    </w:p>
    <w:p w14:paraId="3BF86687">
      <w:pPr>
        <w:pStyle w:val="101"/>
        <w:spacing w:before="0" w:line="288" w:lineRule="auto"/>
        <w:ind w:left="0" w:firstLine="0"/>
        <w:contextualSpacing/>
        <w:rPr>
          <w:rFonts w:ascii="Times New Roman" w:hAnsi="Times New Roman" w:cs="Times New Roman"/>
          <w:b w:val="0"/>
          <w:bCs w:val="0"/>
          <w:sz w:val="24"/>
          <w:szCs w:val="24"/>
        </w:rPr>
      </w:pPr>
      <w:r>
        <w:rPr>
          <w:rFonts w:ascii="Times New Roman" w:hAnsi="Times New Roman" w:cs="Times New Roman"/>
          <w:b w:val="0"/>
          <w:bCs w:val="0"/>
          <w:sz w:val="24"/>
          <w:szCs w:val="24"/>
        </w:rPr>
        <w:t>9.1.1 Entregar o objeto acompanhado, se for o caso, do manual do usuário, com uma versão em português, e da relação da rede de assistência técnica autorizada.</w:t>
      </w:r>
    </w:p>
    <w:p w14:paraId="43822C53">
      <w:pPr>
        <w:pStyle w:val="99"/>
        <w:spacing w:before="0" w:after="0" w:line="288" w:lineRule="auto"/>
        <w:ind w:left="0" w:firstLine="0"/>
        <w:contextualSpacing/>
        <w:rPr>
          <w:rFonts w:ascii="Times New Roman" w:hAnsi="Times New Roman" w:cs="Times New Roman"/>
          <w:sz w:val="24"/>
          <w:szCs w:val="24"/>
        </w:rPr>
      </w:pPr>
    </w:p>
    <w:p w14:paraId="73EB397A">
      <w:pPr>
        <w:pStyle w:val="99"/>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9.1.2 Comunicar ao </w:t>
      </w:r>
      <w:r>
        <w:rPr>
          <w:rFonts w:ascii="Times New Roman" w:hAnsi="Times New Roman" w:cs="Times New Roman"/>
          <w:b/>
          <w:bCs/>
          <w:sz w:val="24"/>
          <w:szCs w:val="24"/>
        </w:rPr>
        <w:t>CONTRATANTE</w:t>
      </w:r>
      <w:r>
        <w:rPr>
          <w:rFonts w:ascii="Times New Roman" w:hAnsi="Times New Roman" w:cs="Times New Roman"/>
          <w:sz w:val="24"/>
          <w:szCs w:val="24"/>
        </w:rPr>
        <w:t>, no prazo máximo de 24 (vinte e quatro) horas que antecede a data da entrega, os motivos que impossibilitem o cumprimento do prazo previsto, com a devida comprovação.</w:t>
      </w:r>
    </w:p>
    <w:p w14:paraId="2208E88B">
      <w:pPr>
        <w:pStyle w:val="99"/>
        <w:spacing w:before="0" w:after="0" w:line="288" w:lineRule="auto"/>
        <w:ind w:left="0" w:firstLine="0"/>
        <w:contextualSpacing/>
        <w:rPr>
          <w:rFonts w:ascii="Times New Roman" w:hAnsi="Times New Roman" w:cs="Times New Roman"/>
          <w:sz w:val="24"/>
          <w:szCs w:val="24"/>
        </w:rPr>
      </w:pPr>
    </w:p>
    <w:p w14:paraId="4ACDF3A3">
      <w:pPr>
        <w:pStyle w:val="99"/>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9.1.3 Atender às determinações regulares emitidas pelo fiscal ou gestor do Contrato ou autoridade superior </w:t>
      </w:r>
      <w:r>
        <w:rPr>
          <w:rFonts w:ascii="Times New Roman" w:hAnsi="Times New Roman" w:cs="Times New Roman"/>
          <w:color w:val="auto"/>
          <w:sz w:val="24"/>
          <w:szCs w:val="24"/>
        </w:rPr>
        <w:t>(</w:t>
      </w:r>
      <w:r>
        <w:fldChar w:fldCharType="begin"/>
      </w:r>
      <w:r>
        <w:instrText xml:space="preserve"> HYPERLINK "http://www.planalto.gov.br/ccivil_03/_ato2019-2022/2021/lei/L14133.htm" \l "art137" </w:instrText>
      </w:r>
      <w:r>
        <w:fldChar w:fldCharType="separate"/>
      </w:r>
      <w:r>
        <w:rPr>
          <w:rStyle w:val="16"/>
          <w:rFonts w:ascii="Times New Roman" w:hAnsi="Times New Roman" w:cs="Times New Roman" w:eastAsiaTheme="minorHAnsi"/>
          <w:color w:val="auto"/>
          <w:sz w:val="24"/>
          <w:szCs w:val="24"/>
        </w:rPr>
        <w:t>art. 137, II, da Lei nº 14.133/2021</w:t>
      </w:r>
      <w:r>
        <w:rPr>
          <w:rStyle w:val="16"/>
          <w:rFonts w:ascii="Times New Roman" w:hAnsi="Times New Roman" w:cs="Times New Roman" w:eastAsiaTheme="minorHAnsi"/>
          <w:color w:val="auto"/>
          <w:sz w:val="24"/>
          <w:szCs w:val="24"/>
        </w:rPr>
        <w:fldChar w:fldCharType="end"/>
      </w:r>
      <w:r>
        <w:rPr>
          <w:rFonts w:ascii="Times New Roman" w:hAnsi="Times New Roman" w:cs="Times New Roman"/>
          <w:color w:val="auto"/>
          <w:sz w:val="24"/>
          <w:szCs w:val="24"/>
        </w:rPr>
        <w:t>)</w:t>
      </w:r>
      <w:r>
        <w:rPr>
          <w:rFonts w:ascii="Times New Roman" w:hAnsi="Times New Roman" w:cs="Times New Roman"/>
          <w:sz w:val="24"/>
          <w:szCs w:val="24"/>
        </w:rPr>
        <w:t xml:space="preserve"> e prestar todo esclarecimento ou informação por eles solicitados.</w:t>
      </w:r>
    </w:p>
    <w:p w14:paraId="5A089792">
      <w:pPr>
        <w:pStyle w:val="108"/>
        <w:numPr>
          <w:ilvl w:val="0"/>
          <w:numId w:val="0"/>
        </w:numPr>
        <w:spacing w:before="0" w:after="0" w:line="288" w:lineRule="auto"/>
        <w:contextualSpacing/>
        <w:rPr>
          <w:rFonts w:ascii="Times New Roman" w:hAnsi="Times New Roman" w:cs="Times New Roman"/>
          <w:i w:val="0"/>
          <w:iCs w:val="0"/>
          <w:color w:val="auto"/>
          <w:sz w:val="24"/>
          <w:szCs w:val="24"/>
        </w:rPr>
      </w:pPr>
    </w:p>
    <w:p w14:paraId="16AB9056">
      <w:pPr>
        <w:pStyle w:val="108"/>
        <w:numPr>
          <w:ilvl w:val="0"/>
          <w:numId w:val="0"/>
        </w:numPr>
        <w:spacing w:before="0" w:after="0" w:line="288" w:lineRule="auto"/>
        <w:contextualSpacing/>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t>9.1.4 Alocar os empregados necessários, com habilitação e conhecimento adequados, ao perfeito cumprimento das cláusulas deste Contrato, fornecendo os materiais, equipamentos, ferramentas e utensílios demandados, cuja quantidade, qualidade e tecnologia deverão atender às recomendações de boa técnica e a legislação de regência.</w:t>
      </w:r>
    </w:p>
    <w:p w14:paraId="4ECCF3FB">
      <w:pPr>
        <w:pStyle w:val="99"/>
        <w:spacing w:before="0" w:after="0" w:line="288" w:lineRule="auto"/>
        <w:ind w:left="0" w:firstLine="0"/>
        <w:contextualSpacing/>
        <w:rPr>
          <w:rFonts w:ascii="Times New Roman" w:hAnsi="Times New Roman" w:cs="Times New Roman"/>
          <w:sz w:val="24"/>
          <w:szCs w:val="24"/>
        </w:rPr>
      </w:pPr>
    </w:p>
    <w:p w14:paraId="27B8BBA0">
      <w:pPr>
        <w:pStyle w:val="99"/>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9.1.5 Reparar, corrigir, remover, reconstruir ou substituir, às suas expensas, no total ou em parte, no prazo fixado pelo fiscal do Contrato, os bens nos quais se verificarem vícios, defeitos ou incorreções resultantes da execução ou dos materiais empregados.</w:t>
      </w:r>
    </w:p>
    <w:p w14:paraId="7502C1FD">
      <w:pPr>
        <w:pStyle w:val="99"/>
        <w:spacing w:before="0" w:after="0" w:line="288" w:lineRule="auto"/>
        <w:ind w:left="0" w:firstLine="0"/>
        <w:contextualSpacing/>
        <w:rPr>
          <w:rFonts w:ascii="Times New Roman" w:hAnsi="Times New Roman" w:cs="Times New Roman"/>
          <w:sz w:val="24"/>
          <w:szCs w:val="24"/>
        </w:rPr>
      </w:pPr>
    </w:p>
    <w:p w14:paraId="05D8F116">
      <w:pPr>
        <w:pStyle w:val="99"/>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9.1.6 Responsabilizar-se pelos vícios e danos decorrentes do objeto, de acordo com o Código de Defesa do Consumidor (</w:t>
      </w:r>
      <w:r>
        <w:fldChar w:fldCharType="begin"/>
      </w:r>
      <w:r>
        <w:instrText xml:space="preserve"> HYPERLINK "https://www.planalto.gov.br/ccivil_03/leis/l8078compilado.htm" </w:instrText>
      </w:r>
      <w:r>
        <w:fldChar w:fldCharType="separate"/>
      </w:r>
      <w:r>
        <w:rPr>
          <w:rStyle w:val="16"/>
          <w:rFonts w:ascii="Times New Roman" w:hAnsi="Times New Roman" w:cs="Times New Roman" w:eastAsiaTheme="minorHAnsi"/>
          <w:color w:val="auto"/>
          <w:sz w:val="24"/>
          <w:szCs w:val="24"/>
        </w:rPr>
        <w:t>Lei nº 8.078/1990</w:t>
      </w:r>
      <w:r>
        <w:rPr>
          <w:rStyle w:val="16"/>
          <w:rFonts w:ascii="Times New Roman" w:hAnsi="Times New Roman" w:cs="Times New Roman" w:eastAsiaTheme="minorHAnsi"/>
          <w:color w:val="auto"/>
          <w:sz w:val="24"/>
          <w:szCs w:val="24"/>
        </w:rPr>
        <w:fldChar w:fldCharType="end"/>
      </w:r>
      <w:r>
        <w:rPr>
          <w:rFonts w:ascii="Times New Roman" w:hAnsi="Times New Roman" w:cs="Times New Roman"/>
          <w:sz w:val="24"/>
          <w:szCs w:val="24"/>
        </w:rPr>
        <w:t xml:space="preserve">), bem como por todo e qualquer dano causado à Administração ou terceiros, não reduzindo essa responsabilidade a fiscalização ou o acompanhamento da execução contratual pelo </w:t>
      </w:r>
      <w:r>
        <w:rPr>
          <w:rFonts w:ascii="Times New Roman" w:hAnsi="Times New Roman" w:cs="Times New Roman"/>
          <w:b/>
          <w:bCs/>
          <w:sz w:val="24"/>
          <w:szCs w:val="24"/>
        </w:rPr>
        <w:t>CONTRATANTE</w:t>
      </w:r>
      <w:r>
        <w:rPr>
          <w:rFonts w:ascii="Times New Roman" w:hAnsi="Times New Roman" w:cs="Times New Roman"/>
          <w:sz w:val="24"/>
          <w:szCs w:val="24"/>
        </w:rPr>
        <w:t>, que ficará autorizado a descontar dos pagamentos devidos ou da garantia o valor correspondente aos danos sofridos.</w:t>
      </w:r>
    </w:p>
    <w:p w14:paraId="6EA59B4D">
      <w:pPr>
        <w:pStyle w:val="99"/>
        <w:spacing w:before="0" w:after="0" w:line="288" w:lineRule="auto"/>
        <w:ind w:left="0" w:firstLine="0"/>
        <w:contextualSpacing/>
        <w:rPr>
          <w:rFonts w:ascii="Times New Roman" w:hAnsi="Times New Roman" w:cs="Times New Roman"/>
          <w:sz w:val="24"/>
          <w:szCs w:val="24"/>
        </w:rPr>
      </w:pPr>
    </w:p>
    <w:p w14:paraId="6243CFA8">
      <w:pPr>
        <w:pStyle w:val="99"/>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9.1.7 Não contratar, durante a vigência do Contrato, cônjuge, companheiro ou parente em linha reta, colateral ou por afinidade, até o terceiro grau, de dirigente do </w:t>
      </w:r>
      <w:r>
        <w:rPr>
          <w:rFonts w:ascii="Times New Roman" w:hAnsi="Times New Roman" w:cs="Times New Roman"/>
          <w:b/>
          <w:bCs/>
          <w:sz w:val="24"/>
          <w:szCs w:val="24"/>
        </w:rPr>
        <w:t>CONTRATANTE</w:t>
      </w:r>
      <w:r>
        <w:rPr>
          <w:rFonts w:ascii="Times New Roman" w:hAnsi="Times New Roman" w:cs="Times New Roman"/>
          <w:sz w:val="24"/>
          <w:szCs w:val="24"/>
        </w:rPr>
        <w:t xml:space="preserve"> ou de agente público que atue na fiscalização ou na gestão do Contrato, nos termos do art. 48, parágrafo único, da Lei nº 14.133/2021.</w:t>
      </w:r>
    </w:p>
    <w:p w14:paraId="5E825571">
      <w:pPr>
        <w:pStyle w:val="99"/>
        <w:spacing w:before="0" w:after="0" w:line="288" w:lineRule="auto"/>
        <w:ind w:left="0" w:firstLine="0"/>
        <w:contextualSpacing/>
        <w:rPr>
          <w:rFonts w:ascii="Times New Roman" w:hAnsi="Times New Roman" w:cs="Times New Roman"/>
          <w:sz w:val="24"/>
          <w:szCs w:val="24"/>
        </w:rPr>
      </w:pPr>
    </w:p>
    <w:p w14:paraId="4914C217">
      <w:pPr>
        <w:pStyle w:val="99"/>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9.1.8 Manter a regularidade junto ao SICAF.</w:t>
      </w:r>
    </w:p>
    <w:p w14:paraId="3C66D7BA">
      <w:pPr>
        <w:pStyle w:val="99"/>
        <w:spacing w:before="0" w:after="0" w:line="288" w:lineRule="auto"/>
        <w:ind w:left="0" w:firstLine="0"/>
        <w:contextualSpacing/>
        <w:rPr>
          <w:rFonts w:ascii="Times New Roman" w:hAnsi="Times New Roman" w:cs="Times New Roman"/>
          <w:sz w:val="24"/>
          <w:szCs w:val="24"/>
        </w:rPr>
      </w:pPr>
    </w:p>
    <w:p w14:paraId="506EDF93">
      <w:pPr>
        <w:pStyle w:val="99"/>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9.1.8.1 Quando não for possível a verificação da regularidade no Sistema de Cadastro de Fornecedores – SICAF, o </w:t>
      </w:r>
      <w:r>
        <w:rPr>
          <w:rFonts w:ascii="Times New Roman" w:hAnsi="Times New Roman" w:cs="Times New Roman"/>
          <w:b/>
          <w:bCs/>
          <w:sz w:val="24"/>
          <w:szCs w:val="24"/>
        </w:rPr>
        <w:t>CONTRATADO</w:t>
      </w:r>
      <w:r>
        <w:rPr>
          <w:rFonts w:ascii="Times New Roman" w:hAnsi="Times New Roman" w:cs="Times New Roman"/>
          <w:sz w:val="24"/>
          <w:szCs w:val="24"/>
        </w:rPr>
        <w:t xml:space="preserve"> deverá entregar ao setor responsável pela fiscalização do Contrato, junto com a Nota Fiscal para fins de pagamento, os seguintes documentos:</w:t>
      </w:r>
    </w:p>
    <w:p w14:paraId="4883DE8C">
      <w:pPr>
        <w:pStyle w:val="99"/>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a) prova de regularidade relativa à Seguridade Social;</w:t>
      </w:r>
    </w:p>
    <w:p w14:paraId="05FD7A07">
      <w:pPr>
        <w:pStyle w:val="99"/>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b) certidão conjunta relativa aos tributos federais e à Dívida Ativa da União;</w:t>
      </w:r>
    </w:p>
    <w:p w14:paraId="683F17DC">
      <w:pPr>
        <w:pStyle w:val="99"/>
        <w:spacing w:before="0" w:after="0" w:line="288" w:lineRule="auto"/>
        <w:ind w:left="0" w:firstLine="0"/>
        <w:contextualSpacing/>
        <w:rPr>
          <w:rFonts w:ascii="Times New Roman" w:hAnsi="Times New Roman" w:cs="Times New Roman"/>
          <w:iCs/>
          <w:sz w:val="24"/>
          <w:szCs w:val="24"/>
        </w:rPr>
      </w:pPr>
      <w:r>
        <w:rPr>
          <w:rFonts w:ascii="Times New Roman" w:hAnsi="Times New Roman" w:cs="Times New Roman"/>
          <w:iCs/>
          <w:sz w:val="24"/>
          <w:szCs w:val="24"/>
        </w:rPr>
        <w:t xml:space="preserve">c) certidões que comprovem a regularidade perante as Fazendas do domicílio ou sede do </w:t>
      </w:r>
      <w:r>
        <w:rPr>
          <w:rFonts w:ascii="Times New Roman" w:hAnsi="Times New Roman" w:cs="Times New Roman"/>
          <w:b/>
          <w:bCs/>
          <w:sz w:val="24"/>
          <w:szCs w:val="24"/>
        </w:rPr>
        <w:t>CONTRATADO</w:t>
      </w:r>
      <w:r>
        <w:rPr>
          <w:rFonts w:ascii="Times New Roman" w:hAnsi="Times New Roman" w:cs="Times New Roman"/>
          <w:iCs/>
          <w:sz w:val="24"/>
          <w:szCs w:val="24"/>
        </w:rPr>
        <w:t xml:space="preserve">, na mesma forma exigida no Edital ou Aviso de Contratação Direta; </w:t>
      </w:r>
    </w:p>
    <w:p w14:paraId="57835166">
      <w:pPr>
        <w:pStyle w:val="99"/>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d) Certificado de Regularidade do FGTS; e</w:t>
      </w:r>
    </w:p>
    <w:p w14:paraId="63D6A745">
      <w:pPr>
        <w:pStyle w:val="99"/>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e) Certidão Negativa de Débitos Trabalhistas – CNDT. </w:t>
      </w:r>
    </w:p>
    <w:p w14:paraId="3CDBED84">
      <w:pPr>
        <w:pStyle w:val="99"/>
        <w:spacing w:before="0" w:after="0" w:line="288" w:lineRule="auto"/>
        <w:ind w:left="0" w:firstLine="0"/>
        <w:contextualSpacing/>
        <w:rPr>
          <w:rFonts w:ascii="Times New Roman" w:hAnsi="Times New Roman" w:cs="Times New Roman"/>
          <w:sz w:val="24"/>
          <w:szCs w:val="24"/>
        </w:rPr>
      </w:pPr>
    </w:p>
    <w:p w14:paraId="5C33A68F">
      <w:pPr>
        <w:pStyle w:val="99"/>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9.1.9 Responsabilizar-se pelo cumprimento de todas as obrigações trabalhistas, previdenciárias, fiscais, comerciais e as demais previstas em legislação específica, cuja inadimplência não transfere a responsabilidade ao </w:t>
      </w:r>
      <w:r>
        <w:rPr>
          <w:rFonts w:ascii="Times New Roman" w:hAnsi="Times New Roman" w:cs="Times New Roman"/>
          <w:b/>
          <w:bCs/>
          <w:sz w:val="24"/>
          <w:szCs w:val="24"/>
        </w:rPr>
        <w:t>CONTRATANTE</w:t>
      </w:r>
      <w:r>
        <w:rPr>
          <w:rFonts w:ascii="Times New Roman" w:hAnsi="Times New Roman" w:cs="Times New Roman"/>
          <w:sz w:val="24"/>
          <w:szCs w:val="24"/>
        </w:rPr>
        <w:t xml:space="preserve"> e não poderá onerar o objeto do Contrato.</w:t>
      </w:r>
    </w:p>
    <w:p w14:paraId="4489B256">
      <w:pPr>
        <w:pStyle w:val="99"/>
        <w:spacing w:before="0" w:after="0" w:line="288" w:lineRule="auto"/>
        <w:ind w:left="0" w:firstLine="0"/>
        <w:contextualSpacing/>
        <w:rPr>
          <w:rFonts w:ascii="Times New Roman" w:hAnsi="Times New Roman" w:cs="Times New Roman"/>
          <w:sz w:val="24"/>
          <w:szCs w:val="24"/>
        </w:rPr>
      </w:pPr>
    </w:p>
    <w:p w14:paraId="718B66C7">
      <w:pPr>
        <w:pStyle w:val="99"/>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9.1.10 Comunicar ao Fiscal do Contrato, no prazo de 24 (vinte e quatro) horas, qualquer ocorrência anormal ou acidente que se verifique no local da execução do objeto contratual.</w:t>
      </w:r>
    </w:p>
    <w:p w14:paraId="0BF2E2D2">
      <w:pPr>
        <w:pStyle w:val="99"/>
        <w:spacing w:before="0" w:after="0" w:line="288" w:lineRule="auto"/>
        <w:ind w:left="0" w:firstLine="0"/>
        <w:contextualSpacing/>
        <w:rPr>
          <w:rFonts w:ascii="Times New Roman" w:hAnsi="Times New Roman" w:cs="Times New Roman"/>
          <w:sz w:val="24"/>
          <w:szCs w:val="24"/>
        </w:rPr>
      </w:pPr>
    </w:p>
    <w:p w14:paraId="7FF455F2">
      <w:pPr>
        <w:pStyle w:val="99"/>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9.1.11 Paralisar, por determinação do </w:t>
      </w:r>
      <w:r>
        <w:rPr>
          <w:rFonts w:ascii="Times New Roman" w:hAnsi="Times New Roman" w:cs="Times New Roman"/>
          <w:b/>
          <w:bCs/>
          <w:sz w:val="24"/>
          <w:szCs w:val="24"/>
        </w:rPr>
        <w:t>CONTRATANTE</w:t>
      </w:r>
      <w:r>
        <w:rPr>
          <w:rFonts w:ascii="Times New Roman" w:hAnsi="Times New Roman" w:cs="Times New Roman"/>
          <w:sz w:val="24"/>
          <w:szCs w:val="24"/>
        </w:rPr>
        <w:t>, qualquer atividade que não esteja sendo executada de acordo com a boa técnica ou que ponha em risco a segurança de pessoas ou bens de terceiros.</w:t>
      </w:r>
    </w:p>
    <w:p w14:paraId="5B9225F0">
      <w:pPr>
        <w:pStyle w:val="108"/>
        <w:numPr>
          <w:ilvl w:val="0"/>
          <w:numId w:val="0"/>
        </w:numPr>
        <w:spacing w:before="0" w:after="0" w:line="288" w:lineRule="auto"/>
        <w:contextualSpacing/>
        <w:rPr>
          <w:rFonts w:ascii="Times New Roman" w:hAnsi="Times New Roman" w:cs="Times New Roman"/>
          <w:i w:val="0"/>
          <w:iCs w:val="0"/>
          <w:color w:val="auto"/>
          <w:sz w:val="24"/>
          <w:szCs w:val="24"/>
        </w:rPr>
      </w:pPr>
    </w:p>
    <w:p w14:paraId="10C6604D">
      <w:pPr>
        <w:pStyle w:val="108"/>
        <w:numPr>
          <w:ilvl w:val="0"/>
          <w:numId w:val="0"/>
        </w:numPr>
        <w:spacing w:before="0" w:after="0" w:line="288" w:lineRule="auto"/>
        <w:contextualSpacing/>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t>9.1.12 Conduzir os trabalhos com estrita observância às normas da legislação pertinente, cumprindo as determinações dos Poderes Públicos, mantendo sempre limpo o local d</w:t>
      </w:r>
      <w:r>
        <w:rPr>
          <w:rFonts w:ascii="Times New Roman" w:hAnsi="Times New Roman" w:cs="Times New Roman"/>
          <w:i w:val="0"/>
          <w:iCs w:val="0"/>
          <w:color w:val="auto"/>
          <w:sz w:val="24"/>
          <w:szCs w:val="24"/>
          <w:lang w:eastAsia="en-US"/>
        </w:rPr>
        <w:t>e execução do objeto</w:t>
      </w:r>
      <w:r>
        <w:rPr>
          <w:rFonts w:ascii="Times New Roman" w:hAnsi="Times New Roman" w:cs="Times New Roman"/>
          <w:i w:val="0"/>
          <w:iCs w:val="0"/>
          <w:color w:val="auto"/>
          <w:sz w:val="24"/>
          <w:szCs w:val="24"/>
        </w:rPr>
        <w:t xml:space="preserve"> e nas melhores condições de segurança, higiene e disciplina.</w:t>
      </w:r>
    </w:p>
    <w:p w14:paraId="256923F8">
      <w:pPr>
        <w:pStyle w:val="108"/>
        <w:numPr>
          <w:ilvl w:val="0"/>
          <w:numId w:val="0"/>
        </w:numPr>
        <w:spacing w:before="0" w:after="0" w:line="288" w:lineRule="auto"/>
        <w:contextualSpacing/>
        <w:rPr>
          <w:rFonts w:ascii="Times New Roman" w:hAnsi="Times New Roman" w:cs="Times New Roman"/>
          <w:i w:val="0"/>
          <w:iCs w:val="0"/>
          <w:color w:val="auto"/>
          <w:sz w:val="24"/>
          <w:szCs w:val="24"/>
        </w:rPr>
      </w:pPr>
    </w:p>
    <w:p w14:paraId="4D95AB33">
      <w:pPr>
        <w:pStyle w:val="108"/>
        <w:numPr>
          <w:ilvl w:val="0"/>
          <w:numId w:val="0"/>
        </w:numPr>
        <w:spacing w:before="0" w:after="0" w:line="288" w:lineRule="auto"/>
        <w:contextualSpacing/>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t xml:space="preserve">9.1.13 Submeter previamente, por escrito, ao </w:t>
      </w:r>
      <w:r>
        <w:rPr>
          <w:rFonts w:ascii="Times New Roman" w:hAnsi="Times New Roman" w:cs="Times New Roman"/>
          <w:b/>
          <w:bCs/>
          <w:i w:val="0"/>
          <w:iCs w:val="0"/>
          <w:color w:val="auto"/>
          <w:sz w:val="24"/>
          <w:szCs w:val="24"/>
        </w:rPr>
        <w:t>CONTRATANTE</w:t>
      </w:r>
      <w:r>
        <w:rPr>
          <w:rFonts w:ascii="Times New Roman" w:hAnsi="Times New Roman" w:cs="Times New Roman"/>
          <w:i w:val="0"/>
          <w:iCs w:val="0"/>
          <w:color w:val="auto"/>
          <w:sz w:val="24"/>
          <w:szCs w:val="24"/>
        </w:rPr>
        <w:t>, para análise e aprovação, quaisquer mudanças nos métodos executivos que fujam às especificações do memorial descritivo ou instrumento congênere.</w:t>
      </w:r>
    </w:p>
    <w:p w14:paraId="01D58FA9">
      <w:pPr>
        <w:pStyle w:val="108"/>
        <w:numPr>
          <w:ilvl w:val="0"/>
          <w:numId w:val="0"/>
        </w:numPr>
        <w:spacing w:before="0" w:after="0" w:line="288" w:lineRule="auto"/>
        <w:contextualSpacing/>
        <w:rPr>
          <w:rFonts w:ascii="Times New Roman" w:hAnsi="Times New Roman" w:cs="Times New Roman"/>
          <w:i w:val="0"/>
          <w:iCs w:val="0"/>
          <w:color w:val="auto"/>
          <w:sz w:val="24"/>
          <w:szCs w:val="24"/>
        </w:rPr>
      </w:pPr>
    </w:p>
    <w:p w14:paraId="78F4E87C">
      <w:pPr>
        <w:pStyle w:val="108"/>
        <w:numPr>
          <w:ilvl w:val="0"/>
          <w:numId w:val="0"/>
        </w:numPr>
        <w:spacing w:before="0" w:after="0" w:line="288" w:lineRule="auto"/>
        <w:contextualSpacing/>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t>9.1.14 Não permitir a utilização de qualquer trabalho do menor de dezesseis anos, exceto na condição de aprendiz para os maiores de quatorze anos, nem permitir a utilização do trabalho do menor de dezoito anos em trabalho noturno, perigoso ou insalubre, na forma do art. 7º, XXXIII, da Constituição Federal.</w:t>
      </w:r>
    </w:p>
    <w:p w14:paraId="6687CFB0">
      <w:pPr>
        <w:pStyle w:val="99"/>
        <w:spacing w:before="0" w:after="0" w:line="288" w:lineRule="auto"/>
        <w:ind w:left="0" w:firstLine="0"/>
        <w:contextualSpacing/>
        <w:rPr>
          <w:rFonts w:ascii="Times New Roman" w:hAnsi="Times New Roman" w:cs="Times New Roman"/>
          <w:sz w:val="24"/>
          <w:szCs w:val="24"/>
        </w:rPr>
      </w:pPr>
    </w:p>
    <w:p w14:paraId="03378069">
      <w:pPr>
        <w:pStyle w:val="99"/>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9.1.15 Manter durante toda a vigência do Contrato, em compatibilidade com as obrigações assumidas, todas as condições exigidas para habilitação na licitação.</w:t>
      </w:r>
    </w:p>
    <w:p w14:paraId="0345FE16">
      <w:pPr>
        <w:pStyle w:val="99"/>
        <w:spacing w:before="0" w:after="0" w:line="288" w:lineRule="auto"/>
        <w:ind w:left="0" w:firstLine="0"/>
        <w:contextualSpacing/>
        <w:rPr>
          <w:rFonts w:ascii="Times New Roman" w:hAnsi="Times New Roman" w:cs="Times New Roman"/>
          <w:sz w:val="24"/>
          <w:szCs w:val="24"/>
        </w:rPr>
      </w:pPr>
    </w:p>
    <w:p w14:paraId="2F313F7A">
      <w:pPr>
        <w:pStyle w:val="99"/>
        <w:spacing w:before="0" w:after="0" w:line="288" w:lineRule="auto"/>
        <w:ind w:left="0" w:firstLine="0"/>
        <w:contextualSpacing/>
        <w:rPr>
          <w:rFonts w:ascii="Times New Roman" w:hAnsi="Times New Roman" w:cs="Times New Roman"/>
          <w:b/>
          <w:bCs/>
          <w:color w:val="auto"/>
          <w:sz w:val="24"/>
          <w:szCs w:val="24"/>
        </w:rPr>
      </w:pPr>
      <w:r>
        <w:rPr>
          <w:rFonts w:ascii="Times New Roman" w:hAnsi="Times New Roman" w:cs="Times New Roman"/>
          <w:sz w:val="24"/>
          <w:szCs w:val="24"/>
        </w:rPr>
        <w:t>9.1.16 Cumprir, durante todo o período de execução do Contrato, a reserva de cargos prevista em lei para pessoa com deficiência, para reabilitado da Previdência Social ou para aprendiz, bem como as reservas de cargos previstas na legislação (</w:t>
      </w:r>
      <w:r>
        <w:fldChar w:fldCharType="begin"/>
      </w:r>
      <w:r>
        <w:instrText xml:space="preserve"> HYPERLINK "http://www.planalto.gov.br/ccivil_03/_ato2019-2022/2021/lei/L14133.htm" \l "art116" </w:instrText>
      </w:r>
      <w:r>
        <w:fldChar w:fldCharType="separate"/>
      </w:r>
      <w:r>
        <w:rPr>
          <w:rStyle w:val="16"/>
          <w:rFonts w:ascii="Times New Roman" w:hAnsi="Times New Roman" w:cs="Times New Roman" w:eastAsiaTheme="minorHAnsi"/>
          <w:color w:val="auto"/>
          <w:sz w:val="24"/>
          <w:szCs w:val="24"/>
        </w:rPr>
        <w:t>art. 116 da Lei nº 14.133/2021</w:t>
      </w:r>
      <w:r>
        <w:rPr>
          <w:rStyle w:val="16"/>
          <w:rFonts w:ascii="Times New Roman" w:hAnsi="Times New Roman" w:cs="Times New Roman" w:eastAsiaTheme="minorHAnsi"/>
          <w:color w:val="auto"/>
          <w:sz w:val="24"/>
          <w:szCs w:val="24"/>
        </w:rPr>
        <w:fldChar w:fldCharType="end"/>
      </w:r>
      <w:r>
        <w:rPr>
          <w:rFonts w:ascii="Times New Roman" w:hAnsi="Times New Roman" w:cs="Times New Roman"/>
          <w:color w:val="auto"/>
          <w:sz w:val="24"/>
          <w:szCs w:val="24"/>
        </w:rPr>
        <w:t>).</w:t>
      </w:r>
    </w:p>
    <w:p w14:paraId="0F5CFF9D">
      <w:pPr>
        <w:pStyle w:val="99"/>
        <w:spacing w:before="0" w:after="0" w:line="288" w:lineRule="auto"/>
        <w:ind w:left="0" w:firstLine="0"/>
        <w:contextualSpacing/>
        <w:rPr>
          <w:rFonts w:ascii="Times New Roman" w:hAnsi="Times New Roman" w:cs="Times New Roman"/>
          <w:sz w:val="24"/>
          <w:szCs w:val="24"/>
        </w:rPr>
      </w:pPr>
    </w:p>
    <w:p w14:paraId="7DC6E321">
      <w:pPr>
        <w:pStyle w:val="99"/>
        <w:spacing w:before="0" w:after="0" w:line="288" w:lineRule="auto"/>
        <w:ind w:left="0" w:firstLine="0"/>
        <w:contextualSpacing/>
        <w:rPr>
          <w:rFonts w:ascii="Times New Roman" w:hAnsi="Times New Roman" w:cs="Times New Roman"/>
          <w:color w:val="auto"/>
          <w:sz w:val="24"/>
          <w:szCs w:val="24"/>
        </w:rPr>
      </w:pPr>
      <w:r>
        <w:rPr>
          <w:rFonts w:ascii="Times New Roman" w:hAnsi="Times New Roman" w:cs="Times New Roman"/>
          <w:sz w:val="24"/>
          <w:szCs w:val="24"/>
        </w:rPr>
        <w:t>9</w:t>
      </w:r>
      <w:r>
        <w:rPr>
          <w:rFonts w:ascii="Times New Roman" w:hAnsi="Times New Roman" w:cs="Times New Roman"/>
          <w:b/>
          <w:bCs/>
          <w:sz w:val="24"/>
          <w:szCs w:val="24"/>
        </w:rPr>
        <w:t>.</w:t>
      </w:r>
      <w:r>
        <w:rPr>
          <w:rFonts w:ascii="Times New Roman" w:hAnsi="Times New Roman" w:cs="Times New Roman"/>
          <w:sz w:val="24"/>
          <w:szCs w:val="24"/>
        </w:rPr>
        <w:t>1.16.1</w:t>
      </w:r>
      <w:r>
        <w:rPr>
          <w:rFonts w:ascii="Times New Roman" w:hAnsi="Times New Roman" w:cs="Times New Roman"/>
          <w:b/>
          <w:bCs/>
          <w:sz w:val="24"/>
          <w:szCs w:val="24"/>
        </w:rPr>
        <w:t xml:space="preserve"> </w:t>
      </w:r>
      <w:r>
        <w:rPr>
          <w:rFonts w:ascii="Times New Roman" w:hAnsi="Times New Roman" w:cs="Times New Roman"/>
          <w:sz w:val="24"/>
          <w:szCs w:val="24"/>
        </w:rPr>
        <w:t>Comprovar a reserva de cargos a que se refere a cláusula acima, no prazo fixado pelo Fiscal do Contrato, com a indicação dos empregados que preencheram as referidas vagas (</w:t>
      </w:r>
      <w:r>
        <w:fldChar w:fldCharType="begin"/>
      </w:r>
      <w:r>
        <w:instrText xml:space="preserve"> HYPERLINK "http://www.planalto.gov.br/ccivil_03/_ato2019-2022/2021/lei/L14133.htm" \l "art116" </w:instrText>
      </w:r>
      <w:r>
        <w:fldChar w:fldCharType="separate"/>
      </w:r>
      <w:r>
        <w:rPr>
          <w:rStyle w:val="16"/>
          <w:rFonts w:ascii="Times New Roman" w:hAnsi="Times New Roman" w:cs="Times New Roman" w:eastAsiaTheme="minorHAnsi"/>
          <w:color w:val="auto"/>
          <w:sz w:val="24"/>
          <w:szCs w:val="24"/>
        </w:rPr>
        <w:t>art. 116, parágrafo único, da Lei nº 14.133/2021</w:t>
      </w:r>
      <w:r>
        <w:rPr>
          <w:rStyle w:val="16"/>
          <w:rFonts w:ascii="Times New Roman" w:hAnsi="Times New Roman" w:cs="Times New Roman" w:eastAsiaTheme="minorHAnsi"/>
          <w:color w:val="auto"/>
          <w:sz w:val="24"/>
          <w:szCs w:val="24"/>
        </w:rPr>
        <w:fldChar w:fldCharType="end"/>
      </w:r>
      <w:r>
        <w:rPr>
          <w:rFonts w:ascii="Times New Roman" w:hAnsi="Times New Roman" w:cs="Times New Roman"/>
          <w:color w:val="auto"/>
          <w:sz w:val="24"/>
          <w:szCs w:val="24"/>
        </w:rPr>
        <w:t>).</w:t>
      </w:r>
    </w:p>
    <w:p w14:paraId="52045290">
      <w:pPr>
        <w:pStyle w:val="99"/>
        <w:spacing w:before="0" w:after="0" w:line="288" w:lineRule="auto"/>
        <w:ind w:left="0" w:firstLine="0"/>
        <w:contextualSpacing/>
        <w:rPr>
          <w:rFonts w:ascii="Times New Roman" w:hAnsi="Times New Roman" w:cs="Times New Roman"/>
          <w:color w:val="auto"/>
          <w:sz w:val="24"/>
          <w:szCs w:val="24"/>
        </w:rPr>
      </w:pPr>
    </w:p>
    <w:p w14:paraId="0AE0359C">
      <w:pPr>
        <w:pStyle w:val="99"/>
        <w:spacing w:before="0" w:after="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9.1.16.2 No caso de aprendiz, a comprovação do cumprimento do art. 429 e seguintes da Consolidação das Leis do Trabalho se dará pela apresentação da certidão, expedida pelo Ministério do Trabalho e Emprego, sem prejuízo do item 9.1.16.1.</w:t>
      </w:r>
    </w:p>
    <w:p w14:paraId="5675463C">
      <w:pPr>
        <w:pStyle w:val="99"/>
        <w:spacing w:before="0" w:after="0" w:line="288" w:lineRule="auto"/>
        <w:ind w:left="0" w:firstLine="0"/>
        <w:contextualSpacing/>
        <w:rPr>
          <w:rFonts w:ascii="Times New Roman" w:hAnsi="Times New Roman" w:cs="Times New Roman"/>
          <w:color w:val="auto"/>
          <w:sz w:val="24"/>
          <w:szCs w:val="24"/>
        </w:rPr>
      </w:pPr>
    </w:p>
    <w:p w14:paraId="6C145E36">
      <w:pPr>
        <w:pStyle w:val="99"/>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color w:val="auto"/>
          <w:sz w:val="24"/>
          <w:szCs w:val="24"/>
        </w:rPr>
        <w:t xml:space="preserve">9.1.17 </w:t>
      </w:r>
      <w:r>
        <w:rPr>
          <w:rFonts w:ascii="Times New Roman" w:hAnsi="Times New Roman" w:cs="Times New Roman"/>
          <w:sz w:val="24"/>
          <w:szCs w:val="24"/>
        </w:rPr>
        <w:t>Guardar sigilo sobre todas as informações obtidas em decorrência do cumprimento do Contrato.</w:t>
      </w:r>
    </w:p>
    <w:p w14:paraId="646F2577">
      <w:pPr>
        <w:pStyle w:val="99"/>
        <w:spacing w:before="0" w:after="0" w:line="288" w:lineRule="auto"/>
        <w:ind w:left="0" w:firstLine="0"/>
        <w:contextualSpacing/>
        <w:rPr>
          <w:rFonts w:ascii="Times New Roman" w:hAnsi="Times New Roman" w:cs="Times New Roman"/>
          <w:sz w:val="24"/>
          <w:szCs w:val="24"/>
        </w:rPr>
      </w:pPr>
    </w:p>
    <w:p w14:paraId="16FD3D25">
      <w:pPr>
        <w:pStyle w:val="99"/>
        <w:spacing w:before="0" w:after="0" w:line="288" w:lineRule="auto"/>
        <w:ind w:left="0" w:firstLine="0"/>
        <w:contextualSpacing/>
        <w:rPr>
          <w:rStyle w:val="16"/>
          <w:rFonts w:ascii="Times New Roman" w:hAnsi="Times New Roman" w:cs="Times New Roman" w:eastAsiaTheme="minorHAnsi"/>
          <w:sz w:val="24"/>
          <w:szCs w:val="24"/>
        </w:rPr>
      </w:pPr>
      <w:r>
        <w:rPr>
          <w:rFonts w:ascii="Times New Roman" w:hAnsi="Times New Roman" w:cs="Times New Roman"/>
          <w:sz w:val="24"/>
          <w:szCs w:val="24"/>
        </w:rPr>
        <w:t xml:space="preserve">9.1.18 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do Contrato, exceto quando ocorrer algum dos eventos arrolados no </w:t>
      </w:r>
      <w:r>
        <w:fldChar w:fldCharType="begin"/>
      </w:r>
      <w:r>
        <w:instrText xml:space="preserve"> HYPERLINK "http://www.planalto.gov.br/ccivil_03/_ato2019-2022/2021/lei/L14133.htm" \l "art124" </w:instrText>
      </w:r>
      <w:r>
        <w:fldChar w:fldCharType="separate"/>
      </w:r>
      <w:r>
        <w:rPr>
          <w:rStyle w:val="16"/>
          <w:rFonts w:ascii="Times New Roman" w:hAnsi="Times New Roman" w:cs="Times New Roman" w:eastAsiaTheme="minorHAnsi"/>
          <w:color w:val="auto"/>
          <w:sz w:val="24"/>
          <w:szCs w:val="24"/>
        </w:rPr>
        <w:t>artigo 124, II, d, da Lei nº 14.133/2021.</w:t>
      </w:r>
      <w:r>
        <w:rPr>
          <w:rStyle w:val="16"/>
          <w:rFonts w:ascii="Times New Roman" w:hAnsi="Times New Roman" w:cs="Times New Roman" w:eastAsiaTheme="minorHAnsi"/>
          <w:color w:val="auto"/>
          <w:sz w:val="24"/>
          <w:szCs w:val="24"/>
        </w:rPr>
        <w:fldChar w:fldCharType="end"/>
      </w:r>
    </w:p>
    <w:p w14:paraId="0C1F7209">
      <w:pPr>
        <w:pStyle w:val="99"/>
        <w:spacing w:before="0" w:after="0" w:line="288" w:lineRule="auto"/>
        <w:ind w:left="0" w:firstLine="0"/>
        <w:contextualSpacing/>
        <w:rPr>
          <w:rFonts w:ascii="Times New Roman" w:hAnsi="Times New Roman" w:cs="Times New Roman"/>
          <w:sz w:val="24"/>
          <w:szCs w:val="24"/>
        </w:rPr>
      </w:pPr>
    </w:p>
    <w:p w14:paraId="2D668296">
      <w:pPr>
        <w:pStyle w:val="99"/>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9.1.19 Cumprir, além dos postulados legais vigentes de âmbito federal, estadual ou municipal, as normas de segurança do </w:t>
      </w:r>
      <w:r>
        <w:rPr>
          <w:rFonts w:ascii="Times New Roman" w:hAnsi="Times New Roman" w:cs="Times New Roman"/>
          <w:b/>
          <w:bCs/>
          <w:sz w:val="24"/>
          <w:szCs w:val="24"/>
        </w:rPr>
        <w:t>CONTRATANTE</w:t>
      </w:r>
      <w:r>
        <w:rPr>
          <w:rFonts w:ascii="Times New Roman" w:hAnsi="Times New Roman" w:cs="Times New Roman"/>
          <w:sz w:val="24"/>
          <w:szCs w:val="24"/>
        </w:rPr>
        <w:t>.</w:t>
      </w:r>
    </w:p>
    <w:p w14:paraId="50AC7AA0">
      <w:pPr>
        <w:pStyle w:val="99"/>
        <w:spacing w:before="0" w:after="0" w:line="288" w:lineRule="auto"/>
        <w:ind w:left="0" w:firstLine="0"/>
        <w:contextualSpacing/>
        <w:rPr>
          <w:rFonts w:ascii="Times New Roman" w:hAnsi="Times New Roman" w:cs="Times New Roman"/>
          <w:sz w:val="24"/>
          <w:szCs w:val="24"/>
        </w:rPr>
      </w:pPr>
    </w:p>
    <w:p w14:paraId="03E92691">
      <w:pPr>
        <w:pStyle w:val="99"/>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9.1.20 Prestar esclarecimentos ou informações solicitadas pelo </w:t>
      </w:r>
      <w:r>
        <w:rPr>
          <w:rFonts w:ascii="Times New Roman" w:hAnsi="Times New Roman" w:cs="Times New Roman"/>
          <w:b/>
          <w:bCs/>
          <w:sz w:val="24"/>
          <w:szCs w:val="24"/>
        </w:rPr>
        <w:t>CONTRATANTE</w:t>
      </w:r>
      <w:r>
        <w:rPr>
          <w:rFonts w:ascii="Times New Roman" w:hAnsi="Times New Roman" w:cs="Times New Roman"/>
          <w:sz w:val="24"/>
          <w:szCs w:val="24"/>
        </w:rPr>
        <w:t xml:space="preserve"> ou por seus prepostos, garantindo-lhes o acesso, a qualquer tempo, ao local dos trabalhos, bem como aos documentos relativos à execução do empreendimento.</w:t>
      </w:r>
    </w:p>
    <w:p w14:paraId="2279455F">
      <w:pPr>
        <w:pStyle w:val="99"/>
        <w:spacing w:before="0" w:after="0" w:line="288" w:lineRule="auto"/>
        <w:ind w:left="0" w:firstLine="0"/>
        <w:contextualSpacing/>
        <w:rPr>
          <w:rFonts w:ascii="Times New Roman" w:hAnsi="Times New Roman" w:cs="Times New Roman"/>
          <w:sz w:val="24"/>
          <w:szCs w:val="24"/>
        </w:rPr>
      </w:pPr>
    </w:p>
    <w:p w14:paraId="216705EF">
      <w:pPr>
        <w:pStyle w:val="99"/>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9.1.21 </w:t>
      </w:r>
      <w:bookmarkStart w:id="48" w:name="_Hlk175228415"/>
      <w:r>
        <w:rPr>
          <w:rFonts w:ascii="Times New Roman" w:hAnsi="Times New Roman" w:cs="Times New Roman"/>
          <w:sz w:val="24"/>
          <w:szCs w:val="24"/>
        </w:rPr>
        <w:t>Caso o valor do Contrato se enquadre no limite previsto na legislação vigente, manter Programa de Integridade, consistindo tal programa no conjunto de mecanismos e procedimentos internos de integridade, auditoria e incentivo à denúncia de irregularidades e na aplicação efetiva de códigos de ética e de conduta, políticas e diretrizes com o objetivo de detectar e sanar desvios, fraudes, irregularidades e atos ilícitos praticados contra a Administração Pública.</w:t>
      </w:r>
    </w:p>
    <w:p w14:paraId="085B730D">
      <w:pPr>
        <w:pStyle w:val="99"/>
        <w:spacing w:before="0" w:after="0" w:line="288" w:lineRule="auto"/>
        <w:ind w:left="0" w:firstLine="0"/>
        <w:contextualSpacing/>
        <w:rPr>
          <w:rFonts w:ascii="Times New Roman" w:hAnsi="Times New Roman" w:eastAsia="Calibri" w:cs="Times New Roman"/>
          <w:color w:val="auto"/>
          <w:sz w:val="24"/>
          <w:szCs w:val="24"/>
          <w:lang w:eastAsia="en-US"/>
        </w:rPr>
      </w:pPr>
    </w:p>
    <w:p w14:paraId="3759694E">
      <w:pPr>
        <w:pStyle w:val="99"/>
        <w:spacing w:before="0" w:after="0" w:line="288" w:lineRule="auto"/>
        <w:ind w:left="0" w:firstLine="0"/>
        <w:contextualSpacing/>
        <w:rPr>
          <w:rFonts w:ascii="Times New Roman" w:hAnsi="Times New Roman" w:cs="Times New Roman"/>
          <w:color w:val="auto"/>
          <w:sz w:val="24"/>
          <w:szCs w:val="24"/>
        </w:rPr>
      </w:pPr>
      <w:r>
        <w:rPr>
          <w:rFonts w:ascii="Times New Roman" w:hAnsi="Times New Roman" w:eastAsia="Calibri" w:cs="Times New Roman"/>
          <w:color w:val="auto"/>
          <w:sz w:val="24"/>
          <w:szCs w:val="24"/>
          <w:lang w:eastAsia="en-US"/>
        </w:rPr>
        <w:t xml:space="preserve">9.1.21.1 Caso o </w:t>
      </w:r>
      <w:r>
        <w:rPr>
          <w:rFonts w:ascii="Times New Roman" w:hAnsi="Times New Roman" w:eastAsia="Calibri" w:cs="Times New Roman"/>
          <w:b/>
          <w:bCs/>
          <w:color w:val="auto"/>
          <w:sz w:val="24"/>
          <w:szCs w:val="24"/>
          <w:lang w:eastAsia="en-US"/>
        </w:rPr>
        <w:t>CONTRATADO</w:t>
      </w:r>
      <w:r>
        <w:rPr>
          <w:rFonts w:ascii="Times New Roman" w:hAnsi="Times New Roman" w:eastAsia="Calibri" w:cs="Times New Roman"/>
          <w:color w:val="auto"/>
          <w:sz w:val="24"/>
          <w:szCs w:val="24"/>
          <w:lang w:eastAsia="en-US"/>
        </w:rPr>
        <w:t xml:space="preserve"> ainda não tenha Programa de Integridade instituído, compromete-se a implantar o Programa de Integridade no prazo de até 180 (cento e oitenta) dias corridos, a partir da data de celebração do presente Contrato, </w:t>
      </w:r>
      <w:r>
        <w:rPr>
          <w:rFonts w:ascii="Times New Roman" w:hAnsi="Times New Roman" w:cs="Times New Roman"/>
          <w:color w:val="auto"/>
          <w:sz w:val="24"/>
          <w:szCs w:val="24"/>
        </w:rPr>
        <w:t>na forma da legislação vigente.</w:t>
      </w:r>
    </w:p>
    <w:bookmarkEnd w:id="48"/>
    <w:p w14:paraId="7C2995EC">
      <w:pPr>
        <w:spacing w:line="288" w:lineRule="auto"/>
        <w:contextualSpacing/>
        <w:jc w:val="both"/>
        <w:rPr>
          <w:sz w:val="24"/>
          <w:szCs w:val="24"/>
        </w:rPr>
      </w:pPr>
    </w:p>
    <w:p w14:paraId="62696E9A">
      <w:pPr>
        <w:spacing w:line="288" w:lineRule="auto"/>
        <w:contextualSpacing/>
        <w:jc w:val="both"/>
        <w:rPr>
          <w:sz w:val="24"/>
          <w:szCs w:val="24"/>
        </w:rPr>
      </w:pPr>
      <w:r>
        <w:rPr>
          <w:sz w:val="24"/>
          <w:szCs w:val="24"/>
        </w:rPr>
        <w:t>9.1.22 Orientar e treinar seus empregados sobre os deveres previstos na Lei nº 13.709, de 14 de agosto de 2018 (LGPD), adotando medidas eficazes para proteção de dados pessoais a que tenha acesso por força da execução deste Contrato.</w:t>
      </w:r>
    </w:p>
    <w:p w14:paraId="01C4EB22">
      <w:pPr>
        <w:spacing w:line="288" w:lineRule="auto"/>
        <w:contextualSpacing/>
        <w:jc w:val="both"/>
        <w:rPr>
          <w:sz w:val="24"/>
          <w:szCs w:val="24"/>
        </w:rPr>
      </w:pPr>
    </w:p>
    <w:p w14:paraId="7A7D1B04">
      <w:pPr>
        <w:pStyle w:val="101"/>
        <w:spacing w:before="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CLÁUSULA DÉCIMA – GARANTIA DE EXECUÇÃO</w:t>
      </w:r>
    </w:p>
    <w:p w14:paraId="2C8253FB">
      <w:pPr>
        <w:spacing w:line="288" w:lineRule="auto"/>
        <w:contextualSpacing/>
        <w:jc w:val="both"/>
        <w:rPr>
          <w:sz w:val="24"/>
          <w:szCs w:val="24"/>
        </w:rPr>
      </w:pPr>
    </w:p>
    <w:p w14:paraId="1EDC8167">
      <w:pPr>
        <w:spacing w:line="288" w:lineRule="auto"/>
        <w:ind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xml:space="preserve">10.1 O Contrato conta com garantia de execução, nos moldes do </w:t>
      </w:r>
      <w:r>
        <w:fldChar w:fldCharType="begin"/>
      </w:r>
      <w:r>
        <w:instrText xml:space="preserve"> HYPERLINK "http://www.planalto.gov.br/ccivil_03/_ato2019-2022/2021/lei/L14133.htm" \l "art96" </w:instrText>
      </w:r>
      <w:r>
        <w:fldChar w:fldCharType="separate"/>
      </w:r>
      <w:r>
        <w:rPr>
          <w:rStyle w:val="16"/>
          <w:rFonts w:eastAsiaTheme="minorHAnsi"/>
          <w:color w:val="000000" w:themeColor="text1"/>
          <w:sz w:val="24"/>
          <w:szCs w:val="24"/>
          <w14:textFill>
            <w14:solidFill>
              <w14:schemeClr w14:val="tx1"/>
            </w14:solidFill>
          </w14:textFill>
        </w:rPr>
        <w:t>artigo 96 da Lei nº 14.133</w:t>
      </w:r>
      <w:r>
        <w:rPr>
          <w:rStyle w:val="16"/>
          <w:rFonts w:eastAsiaTheme="minorHAnsi"/>
          <w:color w:val="000000" w:themeColor="text1"/>
          <w:sz w:val="24"/>
          <w:szCs w:val="24"/>
          <w14:textFill>
            <w14:solidFill>
              <w14:schemeClr w14:val="tx1"/>
            </w14:solidFill>
          </w14:textFill>
        </w:rPr>
        <w:fldChar w:fldCharType="end"/>
      </w:r>
      <w:r>
        <w:rPr>
          <w:rStyle w:val="16"/>
          <w:rFonts w:eastAsiaTheme="minorHAnsi"/>
          <w:color w:val="000000" w:themeColor="text1"/>
          <w:sz w:val="24"/>
          <w:szCs w:val="24"/>
          <w14:textFill>
            <w14:solidFill>
              <w14:schemeClr w14:val="tx1"/>
            </w14:solidFill>
          </w14:textFill>
        </w:rPr>
        <w:t>/</w:t>
      </w:r>
      <w:r>
        <w:rPr>
          <w:color w:val="000000" w:themeColor="text1"/>
          <w:sz w:val="24"/>
          <w:szCs w:val="24"/>
          <w14:textFill>
            <w14:solidFill>
              <w14:schemeClr w14:val="tx1"/>
            </w14:solidFill>
          </w14:textFill>
        </w:rPr>
        <w:t>2021, correspondente a 5 % (cinco) de seu valor inicial/anual.</w:t>
      </w:r>
    </w:p>
    <w:p w14:paraId="0C5D0F42">
      <w:pPr>
        <w:pStyle w:val="103"/>
        <w:spacing w:before="288" w:beforeLines="120" w:after="288" w:afterLines="120" w:line="288" w:lineRule="auto"/>
        <w:ind w:left="0" w:right="849" w:firstLine="0"/>
        <w:contextualSpacing/>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10.1.1 Na forma do art. 101 da Lei nº 14.133/2021, nos casos de contratos que impliquem a entrega de bens pela Administração, dos quais o </w:t>
      </w:r>
      <w:r>
        <w:rPr>
          <w:rFonts w:ascii="Times New Roman" w:hAnsi="Times New Roman" w:cs="Times New Roman"/>
          <w:b/>
          <w:bCs/>
          <w:color w:val="000000" w:themeColor="text1"/>
          <w:sz w:val="24"/>
          <w:szCs w:val="24"/>
          <w14:textFill>
            <w14:solidFill>
              <w14:schemeClr w14:val="tx1"/>
            </w14:solidFill>
          </w14:textFill>
        </w:rPr>
        <w:t>CONTRATADO</w:t>
      </w:r>
      <w:r>
        <w:rPr>
          <w:rFonts w:ascii="Times New Roman" w:hAnsi="Times New Roman" w:cs="Times New Roman"/>
          <w:color w:val="000000" w:themeColor="text1"/>
          <w:sz w:val="24"/>
          <w:szCs w:val="24"/>
          <w14:textFill>
            <w14:solidFill>
              <w14:schemeClr w14:val="tx1"/>
            </w14:solidFill>
          </w14:textFill>
        </w:rPr>
        <w:t xml:space="preserve"> ficará depositário, o valor desses bens deverá ser acrescido ao valor da garantia.</w:t>
      </w:r>
    </w:p>
    <w:p w14:paraId="691F0B59">
      <w:pPr>
        <w:pStyle w:val="108"/>
        <w:numPr>
          <w:ilvl w:val="0"/>
          <w:numId w:val="0"/>
        </w:numPr>
        <w:spacing w:after="288" w:afterLines="120" w:line="288" w:lineRule="auto"/>
        <w:ind w:right="565"/>
        <w:contextualSpacing/>
        <w:rPr>
          <w:rFonts w:ascii="Times New Roman" w:hAnsi="Times New Roman" w:cs="Times New Roman"/>
          <w:i w:val="0"/>
          <w:iCs w:val="0"/>
          <w:color w:val="000000" w:themeColor="text1"/>
          <w:sz w:val="24"/>
          <w:szCs w:val="24"/>
          <w14:textFill>
            <w14:solidFill>
              <w14:schemeClr w14:val="tx1"/>
            </w14:solidFill>
          </w14:textFill>
        </w:rPr>
      </w:pPr>
      <w:r>
        <w:rPr>
          <w:rFonts w:ascii="Times New Roman" w:hAnsi="Times New Roman" w:cs="Times New Roman"/>
          <w:i w:val="0"/>
          <w:iCs w:val="0"/>
          <w:color w:val="000000" w:themeColor="text1"/>
          <w:sz w:val="24"/>
          <w:szCs w:val="24"/>
          <w14:textFill>
            <w14:solidFill>
              <w14:schemeClr w14:val="tx1"/>
            </w14:solidFill>
          </w14:textFill>
        </w:rPr>
        <w:t xml:space="preserve">10.2 O </w:t>
      </w:r>
      <w:r>
        <w:rPr>
          <w:rFonts w:ascii="Times New Roman" w:hAnsi="Times New Roman" w:cs="Times New Roman"/>
          <w:b/>
          <w:bCs/>
          <w:i w:val="0"/>
          <w:iCs w:val="0"/>
          <w:color w:val="000000" w:themeColor="text1"/>
          <w:sz w:val="24"/>
          <w:szCs w:val="24"/>
          <w14:textFill>
            <w14:solidFill>
              <w14:schemeClr w14:val="tx1"/>
            </w14:solidFill>
          </w14:textFill>
        </w:rPr>
        <w:t>CONTRATADO</w:t>
      </w:r>
      <w:r>
        <w:rPr>
          <w:rFonts w:ascii="Times New Roman" w:hAnsi="Times New Roman" w:cs="Times New Roman"/>
          <w:i w:val="0"/>
          <w:iCs w:val="0"/>
          <w:color w:val="000000" w:themeColor="text1"/>
          <w:sz w:val="24"/>
          <w:szCs w:val="24"/>
          <w14:textFill>
            <w14:solidFill>
              <w14:schemeClr w14:val="tx1"/>
            </w14:solidFill>
          </w14:textFill>
        </w:rPr>
        <w:t xml:space="preserve"> poderá optar pelas seguintes modalidades de garantia:</w:t>
      </w:r>
    </w:p>
    <w:p w14:paraId="67035442">
      <w:pPr>
        <w:pStyle w:val="108"/>
        <w:numPr>
          <w:ilvl w:val="0"/>
          <w:numId w:val="0"/>
        </w:numPr>
        <w:spacing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r>
        <w:rPr>
          <w:rFonts w:ascii="Times New Roman" w:hAnsi="Times New Roman" w:cs="Times New Roman"/>
          <w:i w:val="0"/>
          <w:iCs w:val="0"/>
          <w:color w:val="000000" w:themeColor="text1"/>
          <w:sz w:val="24"/>
          <w:szCs w:val="24"/>
          <w14:textFill>
            <w14:solidFill>
              <w14:schemeClr w14:val="tx1"/>
            </w14:solidFill>
          </w14:textFill>
        </w:rPr>
        <w:t>I - caução em dinheiro ou em títulos da dívida pública;</w:t>
      </w:r>
    </w:p>
    <w:p w14:paraId="05C45CA5">
      <w:pPr>
        <w:pStyle w:val="108"/>
        <w:numPr>
          <w:ilvl w:val="0"/>
          <w:numId w:val="0"/>
        </w:numPr>
        <w:spacing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r>
        <w:rPr>
          <w:rFonts w:ascii="Times New Roman" w:hAnsi="Times New Roman" w:cs="Times New Roman"/>
          <w:i w:val="0"/>
          <w:iCs w:val="0"/>
          <w:color w:val="000000" w:themeColor="text1"/>
          <w:sz w:val="24"/>
          <w:szCs w:val="24"/>
          <w14:textFill>
            <w14:solidFill>
              <w14:schemeClr w14:val="tx1"/>
            </w14:solidFill>
          </w14:textFill>
        </w:rPr>
        <w:t xml:space="preserve">II - seguro-garantia; </w:t>
      </w:r>
    </w:p>
    <w:p w14:paraId="5922D24C">
      <w:pPr>
        <w:pStyle w:val="108"/>
        <w:numPr>
          <w:ilvl w:val="0"/>
          <w:numId w:val="0"/>
        </w:numPr>
        <w:spacing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r>
        <w:rPr>
          <w:rFonts w:ascii="Times New Roman" w:hAnsi="Times New Roman" w:cs="Times New Roman"/>
          <w:i w:val="0"/>
          <w:iCs w:val="0"/>
          <w:color w:val="000000" w:themeColor="text1"/>
          <w:sz w:val="24"/>
          <w:szCs w:val="24"/>
          <w14:textFill>
            <w14:solidFill>
              <w14:schemeClr w14:val="tx1"/>
            </w14:solidFill>
          </w14:textFill>
        </w:rPr>
        <w:t>III - fiança bancária; e</w:t>
      </w:r>
    </w:p>
    <w:p w14:paraId="27EA9BD5">
      <w:pPr>
        <w:pStyle w:val="108"/>
        <w:numPr>
          <w:ilvl w:val="0"/>
          <w:numId w:val="0"/>
        </w:numPr>
        <w:spacing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r>
        <w:rPr>
          <w:rFonts w:ascii="Times New Roman" w:hAnsi="Times New Roman" w:cs="Times New Roman"/>
          <w:i w:val="0"/>
          <w:iCs w:val="0"/>
          <w:color w:val="000000" w:themeColor="text1"/>
          <w:sz w:val="24"/>
          <w:szCs w:val="24"/>
          <w14:textFill>
            <w14:solidFill>
              <w14:schemeClr w14:val="tx1"/>
            </w14:solidFill>
          </w14:textFill>
        </w:rPr>
        <w:t>IV - título de capitalização custeado por pagamento único, com resgate pelo valor total.</w:t>
      </w:r>
    </w:p>
    <w:p w14:paraId="6E68F545">
      <w:pPr>
        <w:pStyle w:val="108"/>
        <w:numPr>
          <w:ilvl w:val="0"/>
          <w:numId w:val="0"/>
        </w:numPr>
        <w:spacing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p>
    <w:p w14:paraId="4B964F6D">
      <w:pPr>
        <w:pStyle w:val="108"/>
        <w:numPr>
          <w:ilvl w:val="0"/>
          <w:numId w:val="0"/>
        </w:numPr>
        <w:spacing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r>
        <w:rPr>
          <w:rFonts w:ascii="Times New Roman" w:hAnsi="Times New Roman" w:cs="Times New Roman"/>
          <w:i w:val="0"/>
          <w:iCs w:val="0"/>
          <w:color w:val="000000" w:themeColor="text1"/>
          <w:sz w:val="24"/>
          <w:szCs w:val="24"/>
          <w14:textFill>
            <w14:solidFill>
              <w14:schemeClr w14:val="tx1"/>
            </w14:solidFill>
          </w14:textFill>
        </w:rPr>
        <w:t xml:space="preserve">10.3 Qualquer que seja a modalidade escolhida pelo </w:t>
      </w:r>
      <w:r>
        <w:rPr>
          <w:rFonts w:ascii="Times New Roman" w:hAnsi="Times New Roman" w:cs="Times New Roman"/>
          <w:b/>
          <w:bCs/>
          <w:i w:val="0"/>
          <w:iCs w:val="0"/>
          <w:color w:val="000000" w:themeColor="text1"/>
          <w:sz w:val="24"/>
          <w:szCs w:val="24"/>
          <w14:textFill>
            <w14:solidFill>
              <w14:schemeClr w14:val="tx1"/>
            </w14:solidFill>
          </w14:textFill>
        </w:rPr>
        <w:t>CONTRATADO</w:t>
      </w:r>
      <w:r>
        <w:rPr>
          <w:rFonts w:ascii="Times New Roman" w:hAnsi="Times New Roman" w:cs="Times New Roman"/>
          <w:i w:val="0"/>
          <w:iCs w:val="0"/>
          <w:color w:val="000000" w:themeColor="text1"/>
          <w:sz w:val="24"/>
          <w:szCs w:val="24"/>
          <w14:textFill>
            <w14:solidFill>
              <w14:schemeClr w14:val="tx1"/>
            </w14:solidFill>
          </w14:textFill>
        </w:rPr>
        <w:t xml:space="preserve">, a garantia assegurará o pagamento de: </w:t>
      </w:r>
    </w:p>
    <w:p w14:paraId="6071F012">
      <w:pPr>
        <w:pStyle w:val="108"/>
        <w:numPr>
          <w:ilvl w:val="0"/>
          <w:numId w:val="0"/>
        </w:numPr>
        <w:spacing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p>
    <w:p w14:paraId="0E13DCD3">
      <w:pPr>
        <w:pStyle w:val="108"/>
        <w:numPr>
          <w:ilvl w:val="0"/>
          <w:numId w:val="0"/>
        </w:numPr>
        <w:spacing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r>
        <w:rPr>
          <w:rFonts w:ascii="Times New Roman" w:hAnsi="Times New Roman" w:cs="Times New Roman"/>
          <w:i w:val="0"/>
          <w:iCs w:val="0"/>
          <w:color w:val="000000" w:themeColor="text1"/>
          <w:sz w:val="24"/>
          <w:szCs w:val="24"/>
          <w14:textFill>
            <w14:solidFill>
              <w14:schemeClr w14:val="tx1"/>
            </w14:solidFill>
          </w14:textFill>
        </w:rPr>
        <w:t>10.3.1 prejuízos advindos do não cumprimento do objeto do Contrato e do não adimplemento das demais obrigações neste previstas;</w:t>
      </w:r>
    </w:p>
    <w:p w14:paraId="2B0B4EEA">
      <w:pPr>
        <w:pStyle w:val="108"/>
        <w:numPr>
          <w:ilvl w:val="0"/>
          <w:numId w:val="0"/>
        </w:numPr>
        <w:spacing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p>
    <w:p w14:paraId="6BDF2CB0">
      <w:pPr>
        <w:pStyle w:val="108"/>
        <w:numPr>
          <w:ilvl w:val="0"/>
          <w:numId w:val="0"/>
        </w:numPr>
        <w:spacing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r>
        <w:rPr>
          <w:rFonts w:ascii="Times New Roman" w:hAnsi="Times New Roman" w:cs="Times New Roman"/>
          <w:i w:val="0"/>
          <w:iCs w:val="0"/>
          <w:color w:val="000000" w:themeColor="text1"/>
          <w:sz w:val="24"/>
          <w:szCs w:val="24"/>
          <w14:textFill>
            <w14:solidFill>
              <w14:schemeClr w14:val="tx1"/>
            </w14:solidFill>
          </w14:textFill>
        </w:rPr>
        <w:t xml:space="preserve">10.3.2 multas moratórias, compensatórias e administrativas aplicadas pela Administração ao </w:t>
      </w:r>
      <w:r>
        <w:rPr>
          <w:rFonts w:ascii="Times New Roman" w:hAnsi="Times New Roman" w:cs="Times New Roman"/>
          <w:b/>
          <w:bCs/>
          <w:i w:val="0"/>
          <w:iCs w:val="0"/>
          <w:color w:val="000000" w:themeColor="text1"/>
          <w:sz w:val="24"/>
          <w:szCs w:val="24"/>
          <w14:textFill>
            <w14:solidFill>
              <w14:schemeClr w14:val="tx1"/>
            </w14:solidFill>
          </w14:textFill>
        </w:rPr>
        <w:t>CONTRATADO</w:t>
      </w:r>
      <w:r>
        <w:rPr>
          <w:rFonts w:ascii="Times New Roman" w:hAnsi="Times New Roman" w:cs="Times New Roman"/>
          <w:i w:val="0"/>
          <w:iCs w:val="0"/>
          <w:color w:val="000000" w:themeColor="text1"/>
          <w:sz w:val="24"/>
          <w:szCs w:val="24"/>
          <w14:textFill>
            <w14:solidFill>
              <w14:schemeClr w14:val="tx1"/>
            </w14:solidFill>
          </w14:textFill>
        </w:rPr>
        <w:t>; e</w:t>
      </w:r>
    </w:p>
    <w:p w14:paraId="6BC2594A">
      <w:pPr>
        <w:pStyle w:val="108"/>
        <w:numPr>
          <w:ilvl w:val="0"/>
          <w:numId w:val="0"/>
        </w:numPr>
        <w:spacing w:after="288" w:afterLines="120" w:line="288" w:lineRule="auto"/>
        <w:ind w:left="567" w:right="565"/>
        <w:contextualSpacing/>
        <w:rPr>
          <w:rFonts w:ascii="Times New Roman" w:hAnsi="Times New Roman" w:cs="Times New Roman"/>
          <w:bCs/>
          <w:i w:val="0"/>
          <w:iCs w:val="0"/>
          <w:color w:val="000000" w:themeColor="text1"/>
          <w:sz w:val="24"/>
          <w:szCs w:val="24"/>
          <w14:textFill>
            <w14:solidFill>
              <w14:schemeClr w14:val="tx1"/>
            </w14:solidFill>
          </w14:textFill>
        </w:rPr>
      </w:pPr>
    </w:p>
    <w:p w14:paraId="19E867BE">
      <w:pPr>
        <w:pStyle w:val="108"/>
        <w:numPr>
          <w:ilvl w:val="0"/>
          <w:numId w:val="0"/>
        </w:numPr>
        <w:spacing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r>
        <w:rPr>
          <w:rFonts w:ascii="Times New Roman" w:hAnsi="Times New Roman" w:cs="Times New Roman"/>
          <w:bCs/>
          <w:i w:val="0"/>
          <w:iCs w:val="0"/>
          <w:color w:val="000000" w:themeColor="text1"/>
          <w:sz w:val="24"/>
          <w:szCs w:val="24"/>
          <w14:textFill>
            <w14:solidFill>
              <w14:schemeClr w14:val="tx1"/>
            </w14:solidFill>
          </w14:textFill>
        </w:rPr>
        <w:t xml:space="preserve">10.3.3 obrigações trabalhistas e   previdenciárias de </w:t>
      </w:r>
      <w:r>
        <w:rPr>
          <w:rFonts w:ascii="Times New Roman" w:hAnsi="Times New Roman" w:cs="Times New Roman"/>
          <w:i w:val="0"/>
          <w:iCs w:val="0"/>
          <w:color w:val="000000" w:themeColor="text1"/>
          <w:sz w:val="24"/>
          <w:szCs w:val="24"/>
          <w14:textFill>
            <w14:solidFill>
              <w14:schemeClr w14:val="tx1"/>
            </w14:solidFill>
          </w14:textFill>
        </w:rPr>
        <w:t xml:space="preserve">qualquer natureza, assim como as obrigações de regularidade perante o FGTS, não adimplidas pelo </w:t>
      </w:r>
      <w:r>
        <w:rPr>
          <w:rFonts w:ascii="Times New Roman" w:hAnsi="Times New Roman" w:cs="Times New Roman"/>
          <w:b/>
          <w:bCs/>
          <w:i w:val="0"/>
          <w:iCs w:val="0"/>
          <w:color w:val="000000" w:themeColor="text1"/>
          <w:sz w:val="24"/>
          <w:szCs w:val="24"/>
          <w14:textFill>
            <w14:solidFill>
              <w14:schemeClr w14:val="tx1"/>
            </w14:solidFill>
          </w14:textFill>
        </w:rPr>
        <w:t>CONTRATADO</w:t>
      </w:r>
      <w:r>
        <w:rPr>
          <w:rFonts w:ascii="Times New Roman" w:hAnsi="Times New Roman" w:cs="Times New Roman"/>
          <w:i w:val="0"/>
          <w:iCs w:val="0"/>
          <w:color w:val="000000" w:themeColor="text1"/>
          <w:sz w:val="24"/>
          <w:szCs w:val="24"/>
          <w14:textFill>
            <w14:solidFill>
              <w14:schemeClr w14:val="tx1"/>
            </w14:solidFill>
          </w14:textFill>
        </w:rPr>
        <w:t>, quando couber.</w:t>
      </w:r>
    </w:p>
    <w:p w14:paraId="03E0A13E">
      <w:pPr>
        <w:pStyle w:val="108"/>
        <w:numPr>
          <w:ilvl w:val="0"/>
          <w:numId w:val="0"/>
        </w:numPr>
        <w:spacing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p>
    <w:p w14:paraId="5B968A5C">
      <w:pPr>
        <w:pStyle w:val="108"/>
        <w:numPr>
          <w:ilvl w:val="0"/>
          <w:numId w:val="0"/>
        </w:numPr>
        <w:spacing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r>
        <w:rPr>
          <w:rFonts w:ascii="Times New Roman" w:hAnsi="Times New Roman" w:cs="Times New Roman"/>
          <w:i w:val="0"/>
          <w:iCs w:val="0"/>
          <w:color w:val="000000" w:themeColor="text1"/>
          <w:sz w:val="24"/>
          <w:szCs w:val="24"/>
          <w14:textFill>
            <w14:solidFill>
              <w14:schemeClr w14:val="tx1"/>
            </w14:solidFill>
          </w14:textFill>
        </w:rPr>
        <w:t>10.4</w:t>
      </w:r>
      <w:r>
        <w:rPr>
          <w:rStyle w:val="117"/>
          <w:rFonts w:ascii="Times New Roman" w:hAnsi="Times New Roman" w:cs="Times New Roman"/>
          <w:i w:val="0"/>
          <w:iCs w:val="0"/>
          <w:color w:val="000000" w:themeColor="text1"/>
          <w:sz w:val="24"/>
          <w:szCs w:val="24"/>
          <w:shd w:val="clear" w:color="auto" w:fill="FFFFFF"/>
          <w14:textFill>
            <w14:solidFill>
              <w14:schemeClr w14:val="tx1"/>
            </w14:solidFill>
          </w14:textFill>
        </w:rPr>
        <w:t xml:space="preserve"> </w:t>
      </w:r>
      <w:r>
        <w:rPr>
          <w:rFonts w:ascii="Times New Roman" w:hAnsi="Times New Roman" w:cs="Times New Roman"/>
          <w:i w:val="0"/>
          <w:iCs w:val="0"/>
          <w:color w:val="000000" w:themeColor="text1"/>
          <w:sz w:val="24"/>
          <w:szCs w:val="24"/>
          <w14:textFill>
            <w14:solidFill>
              <w14:schemeClr w14:val="tx1"/>
            </w14:solidFill>
          </w14:textFill>
        </w:rPr>
        <w:t>A garantia, qualquer que seja a modalidade escolhida, terá validade durante a vigência do Contrato e por mais 90 (noventa) dias após o término deste prazo de vigência.</w:t>
      </w:r>
    </w:p>
    <w:p w14:paraId="3946C629">
      <w:pPr>
        <w:pStyle w:val="108"/>
        <w:numPr>
          <w:ilvl w:val="0"/>
          <w:numId w:val="0"/>
        </w:numPr>
        <w:spacing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p>
    <w:p w14:paraId="6B2CEB75">
      <w:pPr>
        <w:pStyle w:val="108"/>
        <w:numPr>
          <w:ilvl w:val="0"/>
          <w:numId w:val="0"/>
        </w:numPr>
        <w:spacing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r>
        <w:rPr>
          <w:rFonts w:ascii="Times New Roman" w:hAnsi="Times New Roman" w:cs="Times New Roman"/>
          <w:i w:val="0"/>
          <w:iCs w:val="0"/>
          <w:color w:val="000000" w:themeColor="text1"/>
          <w:sz w:val="24"/>
          <w:szCs w:val="24"/>
          <w14:textFill>
            <w14:solidFill>
              <w14:schemeClr w14:val="tx1"/>
            </w14:solidFill>
          </w14:textFill>
        </w:rPr>
        <w:t xml:space="preserve">10.5 Na hipótese de suspensão do Contrato por ordem ou inadimplemento da Administração, o </w:t>
      </w:r>
      <w:r>
        <w:rPr>
          <w:rFonts w:ascii="Times New Roman" w:hAnsi="Times New Roman" w:cs="Times New Roman"/>
          <w:b/>
          <w:bCs/>
          <w:i w:val="0"/>
          <w:iCs w:val="0"/>
          <w:color w:val="000000" w:themeColor="text1"/>
          <w:sz w:val="24"/>
          <w:szCs w:val="24"/>
          <w14:textFill>
            <w14:solidFill>
              <w14:schemeClr w14:val="tx1"/>
            </w14:solidFill>
          </w14:textFill>
        </w:rPr>
        <w:t>CONTRATADO</w:t>
      </w:r>
      <w:r>
        <w:rPr>
          <w:rFonts w:ascii="Times New Roman" w:hAnsi="Times New Roman" w:cs="Times New Roman"/>
          <w:i w:val="0"/>
          <w:iCs w:val="0"/>
          <w:color w:val="000000" w:themeColor="text1"/>
          <w:sz w:val="24"/>
          <w:szCs w:val="24"/>
          <w14:textFill>
            <w14:solidFill>
              <w14:schemeClr w14:val="tx1"/>
            </w14:solidFill>
          </w14:textFill>
        </w:rPr>
        <w:t xml:space="preserve"> ficará desobrigado de renovar a garantia ou de endossar a apólice de seguro até a ordem de reinício da execução ou o adimplemento pela Administração.</w:t>
      </w:r>
    </w:p>
    <w:p w14:paraId="3551DC2B">
      <w:pPr>
        <w:pStyle w:val="108"/>
        <w:numPr>
          <w:ilvl w:val="0"/>
          <w:numId w:val="0"/>
        </w:numPr>
        <w:spacing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p>
    <w:p w14:paraId="2078306B">
      <w:pPr>
        <w:pStyle w:val="108"/>
        <w:numPr>
          <w:ilvl w:val="0"/>
          <w:numId w:val="0"/>
        </w:numPr>
        <w:spacing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r>
        <w:rPr>
          <w:rFonts w:ascii="Times New Roman" w:hAnsi="Times New Roman" w:cs="Times New Roman"/>
          <w:i w:val="0"/>
          <w:iCs w:val="0"/>
          <w:color w:val="000000" w:themeColor="text1"/>
          <w:sz w:val="24"/>
          <w:szCs w:val="24"/>
          <w14:textFill>
            <w14:solidFill>
              <w14:schemeClr w14:val="tx1"/>
            </w14:solidFill>
          </w14:textFill>
        </w:rPr>
        <w:t xml:space="preserve">10.6 Ressalvada a hipótese de seguro-garantia, cuja apresentação deve ser anterior à assinatura do Contrato, o </w:t>
      </w:r>
      <w:r>
        <w:rPr>
          <w:rFonts w:ascii="Times New Roman" w:hAnsi="Times New Roman" w:cs="Times New Roman"/>
          <w:b/>
          <w:bCs/>
          <w:i w:val="0"/>
          <w:iCs w:val="0"/>
          <w:color w:val="000000" w:themeColor="text1"/>
          <w:sz w:val="24"/>
          <w:szCs w:val="24"/>
          <w14:textFill>
            <w14:solidFill>
              <w14:schemeClr w14:val="tx1"/>
            </w14:solidFill>
          </w14:textFill>
        </w:rPr>
        <w:t>CONTRATADO</w:t>
      </w:r>
      <w:r>
        <w:rPr>
          <w:rFonts w:ascii="Times New Roman" w:hAnsi="Times New Roman" w:cs="Times New Roman"/>
          <w:i w:val="0"/>
          <w:iCs w:val="0"/>
          <w:color w:val="000000" w:themeColor="text1"/>
          <w:sz w:val="24"/>
          <w:szCs w:val="24"/>
          <w14:textFill>
            <w14:solidFill>
              <w14:schemeClr w14:val="tx1"/>
            </w14:solidFill>
          </w14:textFill>
        </w:rPr>
        <w:t xml:space="preserve"> apresentará, no prazo máximo de 10 (dez) dias úteis, prorrogáveis por igual período, a critério do </w:t>
      </w:r>
      <w:r>
        <w:rPr>
          <w:rFonts w:ascii="Times New Roman" w:hAnsi="Times New Roman" w:cs="Times New Roman"/>
          <w:b/>
          <w:bCs/>
          <w:i w:val="0"/>
          <w:iCs w:val="0"/>
          <w:color w:val="000000" w:themeColor="text1"/>
          <w:sz w:val="24"/>
          <w:szCs w:val="24"/>
          <w14:textFill>
            <w14:solidFill>
              <w14:schemeClr w14:val="tx1"/>
            </w14:solidFill>
          </w14:textFill>
        </w:rPr>
        <w:t>CONTRATANTE</w:t>
      </w:r>
      <w:r>
        <w:rPr>
          <w:rFonts w:ascii="Times New Roman" w:hAnsi="Times New Roman" w:cs="Times New Roman"/>
          <w:i w:val="0"/>
          <w:iCs w:val="0"/>
          <w:color w:val="000000" w:themeColor="text1"/>
          <w:sz w:val="24"/>
          <w:szCs w:val="24"/>
          <w14:textFill>
            <w14:solidFill>
              <w14:schemeClr w14:val="tx1"/>
            </w14:solidFill>
          </w14:textFill>
        </w:rPr>
        <w:t>, contado da assinatura do Contrato, o comprovante de prestação de garantia, na forma do item 10.2.</w:t>
      </w:r>
    </w:p>
    <w:p w14:paraId="3DE647B2">
      <w:pPr>
        <w:spacing w:line="288" w:lineRule="auto"/>
        <w:ind w:left="567"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10.7 Caso oferecida a modalidade de seguro-garantia, observar-se-ão as seguintes condições:</w:t>
      </w:r>
    </w:p>
    <w:p w14:paraId="465954CD">
      <w:pPr>
        <w:spacing w:line="288" w:lineRule="auto"/>
        <w:ind w:left="567" w:right="565"/>
        <w:contextualSpacing/>
        <w:jc w:val="both"/>
        <w:rPr>
          <w:color w:val="000000" w:themeColor="text1"/>
          <w:sz w:val="24"/>
          <w:szCs w:val="24"/>
          <w14:textFill>
            <w14:solidFill>
              <w14:schemeClr w14:val="tx1"/>
            </w14:solidFill>
          </w14:textFill>
        </w:rPr>
      </w:pPr>
    </w:p>
    <w:p w14:paraId="6C170DD8">
      <w:pPr>
        <w:spacing w:line="288" w:lineRule="auto"/>
        <w:ind w:left="567"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xml:space="preserve">10.7.1 a apólice permanecerá em vigor mesmo que o </w:t>
      </w:r>
      <w:r>
        <w:rPr>
          <w:b/>
          <w:bCs/>
          <w:color w:val="000000" w:themeColor="text1"/>
          <w:sz w:val="24"/>
          <w:szCs w:val="24"/>
          <w14:textFill>
            <w14:solidFill>
              <w14:schemeClr w14:val="tx1"/>
            </w14:solidFill>
          </w14:textFill>
        </w:rPr>
        <w:t>CONTRATADO</w:t>
      </w:r>
      <w:r>
        <w:rPr>
          <w:color w:val="000000" w:themeColor="text1"/>
          <w:sz w:val="24"/>
          <w:szCs w:val="24"/>
          <w14:textFill>
            <w14:solidFill>
              <w14:schemeClr w14:val="tx1"/>
            </w14:solidFill>
          </w14:textFill>
        </w:rPr>
        <w:t xml:space="preserve"> não pague o prêmio nas datas convencionadas;</w:t>
      </w:r>
    </w:p>
    <w:p w14:paraId="4B7AFB59">
      <w:pPr>
        <w:spacing w:line="288" w:lineRule="auto"/>
        <w:ind w:left="567" w:right="565"/>
        <w:contextualSpacing/>
        <w:jc w:val="both"/>
        <w:rPr>
          <w:color w:val="000000" w:themeColor="text1"/>
          <w:sz w:val="24"/>
          <w:szCs w:val="24"/>
          <w14:textFill>
            <w14:solidFill>
              <w14:schemeClr w14:val="tx1"/>
            </w14:solidFill>
          </w14:textFill>
        </w:rPr>
      </w:pPr>
    </w:p>
    <w:p w14:paraId="4809641E">
      <w:pPr>
        <w:spacing w:line="288" w:lineRule="auto"/>
        <w:ind w:left="567"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10.7.2 a apólice deverá acompanhar as modificações referentes à vigência do Contrato principal, mediante a emissão do respectivo endosso pela seguradora;</w:t>
      </w:r>
    </w:p>
    <w:p w14:paraId="2B52A41F">
      <w:pPr>
        <w:spacing w:line="288" w:lineRule="auto"/>
        <w:ind w:left="567" w:right="565"/>
        <w:contextualSpacing/>
        <w:jc w:val="both"/>
        <w:rPr>
          <w:color w:val="000000" w:themeColor="text1"/>
          <w:sz w:val="24"/>
          <w:szCs w:val="24"/>
          <w14:textFill>
            <w14:solidFill>
              <w14:schemeClr w14:val="tx1"/>
            </w14:solidFill>
          </w14:textFill>
        </w:rPr>
      </w:pPr>
    </w:p>
    <w:p w14:paraId="1C6F0F35">
      <w:pPr>
        <w:spacing w:line="288" w:lineRule="auto"/>
        <w:ind w:left="567"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10.7.3 será permitida a substituição da apólice na data de renovação ou de aniversário, desde que mantidas as condições e coberturas da apólice vigente e nenhum período fique descoberto, ressalvado o disposto no item 10.5 deste Contrato; e</w:t>
      </w:r>
    </w:p>
    <w:p w14:paraId="6BA724D7">
      <w:pPr>
        <w:spacing w:line="288" w:lineRule="auto"/>
        <w:ind w:left="567" w:right="565"/>
        <w:contextualSpacing/>
        <w:jc w:val="both"/>
        <w:rPr>
          <w:color w:val="000000" w:themeColor="text1"/>
          <w:sz w:val="24"/>
          <w:szCs w:val="24"/>
          <w14:textFill>
            <w14:solidFill>
              <w14:schemeClr w14:val="tx1"/>
            </w14:solidFill>
          </w14:textFill>
        </w:rPr>
      </w:pPr>
    </w:p>
    <w:p w14:paraId="063D3BFA">
      <w:pPr>
        <w:spacing w:line="288" w:lineRule="auto"/>
        <w:ind w:left="567"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10.7.4 a apólice somente será aceita se contemplar todos os eventos indicados no item 10.3, observada a legislação que rege a matéria.</w:t>
      </w:r>
    </w:p>
    <w:p w14:paraId="7632A0A3">
      <w:pPr>
        <w:spacing w:line="288" w:lineRule="auto"/>
        <w:ind w:left="567" w:right="565"/>
        <w:contextualSpacing/>
        <w:jc w:val="both"/>
        <w:rPr>
          <w:color w:val="000000" w:themeColor="text1"/>
          <w:sz w:val="24"/>
          <w:szCs w:val="24"/>
          <w14:textFill>
            <w14:solidFill>
              <w14:schemeClr w14:val="tx1"/>
            </w14:solidFill>
          </w14:textFill>
        </w:rPr>
      </w:pPr>
    </w:p>
    <w:p w14:paraId="0F497D9C">
      <w:pPr>
        <w:spacing w:line="288" w:lineRule="auto"/>
        <w:ind w:left="567"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10.8 Em caso de oferecimento de títulos da dívida pública, estes devem ser emitidos sob a forma escritural, mediante registro em sistema centralizado de liquidação e de custódia autorizado pelo Banco Central do Brasil, e avaliados pelos seus valores econômicos, conforme definido pelo Ministério da Fazenda.</w:t>
      </w:r>
    </w:p>
    <w:p w14:paraId="11648ED5">
      <w:pPr>
        <w:pStyle w:val="108"/>
        <w:numPr>
          <w:ilvl w:val="0"/>
          <w:numId w:val="0"/>
        </w:numPr>
        <w:spacing w:before="0"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p>
    <w:p w14:paraId="59C84DF4">
      <w:pPr>
        <w:pStyle w:val="108"/>
        <w:numPr>
          <w:ilvl w:val="0"/>
          <w:numId w:val="0"/>
        </w:numPr>
        <w:spacing w:before="0" w:after="288" w:afterLines="120" w:line="288" w:lineRule="auto"/>
        <w:ind w:left="567" w:right="565"/>
        <w:contextualSpacing/>
        <w:rPr>
          <w:rStyle w:val="16"/>
          <w:rFonts w:ascii="Times New Roman" w:hAnsi="Times New Roman" w:cs="Times New Roman" w:eastAsiaTheme="minorHAnsi"/>
          <w:i w:val="0"/>
          <w:iCs w:val="0"/>
          <w:color w:val="000000" w:themeColor="text1"/>
          <w:sz w:val="24"/>
          <w:szCs w:val="24"/>
          <w14:textFill>
            <w14:solidFill>
              <w14:schemeClr w14:val="tx1"/>
            </w14:solidFill>
          </w14:textFill>
        </w:rPr>
      </w:pPr>
      <w:r>
        <w:rPr>
          <w:rFonts w:ascii="Times New Roman" w:hAnsi="Times New Roman" w:cs="Times New Roman"/>
          <w:i w:val="0"/>
          <w:iCs w:val="0"/>
          <w:color w:val="000000" w:themeColor="text1"/>
          <w:sz w:val="24"/>
          <w:szCs w:val="24"/>
          <w14:textFill>
            <w14:solidFill>
              <w14:schemeClr w14:val="tx1"/>
            </w14:solidFill>
          </w14:textFill>
        </w:rPr>
        <w:t xml:space="preserve">10.9 Caso a opção seja por fiança bancária, esta deverá ser emitida por banco ou instituição financeira devidamente autorizada a operar no País pelo Banco Central do Brasil, e deverá constar expressa renúncia do fiador aos benefícios do </w:t>
      </w:r>
      <w:r>
        <w:fldChar w:fldCharType="begin"/>
      </w:r>
      <w:r>
        <w:instrText xml:space="preserve"> HYPERLINK "https://www.planalto.gov.br/ccivil_03/leis/2002/l10406compilada.htm" \l "art827" </w:instrText>
      </w:r>
      <w:r>
        <w:fldChar w:fldCharType="separate"/>
      </w:r>
      <w:r>
        <w:rPr>
          <w:rStyle w:val="16"/>
          <w:rFonts w:ascii="Times New Roman" w:hAnsi="Times New Roman" w:cs="Times New Roman" w:eastAsiaTheme="minorHAnsi"/>
          <w:i w:val="0"/>
          <w:iCs w:val="0"/>
          <w:color w:val="000000" w:themeColor="text1"/>
          <w:sz w:val="24"/>
          <w:szCs w:val="24"/>
          <w14:textFill>
            <w14:solidFill>
              <w14:schemeClr w14:val="tx1"/>
            </w14:solidFill>
          </w14:textFill>
        </w:rPr>
        <w:t>artigo 827 do Código Civil.</w:t>
      </w:r>
      <w:r>
        <w:rPr>
          <w:rStyle w:val="16"/>
          <w:rFonts w:ascii="Times New Roman" w:hAnsi="Times New Roman" w:cs="Times New Roman" w:eastAsiaTheme="minorHAnsi"/>
          <w:i w:val="0"/>
          <w:iCs w:val="0"/>
          <w:color w:val="000000" w:themeColor="text1"/>
          <w:sz w:val="24"/>
          <w:szCs w:val="24"/>
          <w14:textFill>
            <w14:solidFill>
              <w14:schemeClr w14:val="tx1"/>
            </w14:solidFill>
          </w14:textFill>
        </w:rPr>
        <w:fldChar w:fldCharType="end"/>
      </w:r>
    </w:p>
    <w:p w14:paraId="74637BE7">
      <w:pPr>
        <w:pStyle w:val="108"/>
        <w:numPr>
          <w:ilvl w:val="0"/>
          <w:numId w:val="0"/>
        </w:numPr>
        <w:spacing w:before="0"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p>
    <w:p w14:paraId="27954D32">
      <w:pPr>
        <w:pStyle w:val="108"/>
        <w:numPr>
          <w:ilvl w:val="0"/>
          <w:numId w:val="0"/>
        </w:numPr>
        <w:spacing w:before="0"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r>
        <w:rPr>
          <w:rFonts w:ascii="Times New Roman" w:hAnsi="Times New Roman" w:cs="Times New Roman"/>
          <w:i w:val="0"/>
          <w:iCs w:val="0"/>
          <w:color w:val="000000" w:themeColor="text1"/>
          <w:sz w:val="24"/>
          <w:szCs w:val="24"/>
          <w14:textFill>
            <w14:solidFill>
              <w14:schemeClr w14:val="tx1"/>
            </w14:solidFill>
          </w14:textFill>
        </w:rPr>
        <w:t xml:space="preserve">10.10 Caso a opção seja por garantia em dinheiro, deverá ser efetuada em favor do </w:t>
      </w:r>
      <w:r>
        <w:rPr>
          <w:rFonts w:ascii="Times New Roman" w:hAnsi="Times New Roman" w:cs="Times New Roman"/>
          <w:b/>
          <w:bCs/>
          <w:i w:val="0"/>
          <w:iCs w:val="0"/>
          <w:color w:val="000000" w:themeColor="text1"/>
          <w:sz w:val="24"/>
          <w:szCs w:val="24"/>
          <w14:textFill>
            <w14:solidFill>
              <w14:schemeClr w14:val="tx1"/>
            </w14:solidFill>
          </w14:textFill>
        </w:rPr>
        <w:t>CONTRATANTE</w:t>
      </w:r>
      <w:r>
        <w:rPr>
          <w:rFonts w:ascii="Times New Roman" w:hAnsi="Times New Roman" w:cs="Times New Roman"/>
          <w:i w:val="0"/>
          <w:iCs w:val="0"/>
          <w:color w:val="000000" w:themeColor="text1"/>
          <w:sz w:val="24"/>
          <w:szCs w:val="24"/>
          <w14:textFill>
            <w14:solidFill>
              <w14:schemeClr w14:val="tx1"/>
            </w14:solidFill>
          </w14:textFill>
        </w:rPr>
        <w:t xml:space="preserve">, na conta corrente e agência  da instituição financeira contratada pelo Município a ser informada, cujo valor será corrigido monetariamente e restituído ao </w:t>
      </w:r>
      <w:r>
        <w:rPr>
          <w:rFonts w:ascii="Times New Roman" w:hAnsi="Times New Roman" w:cs="Times New Roman"/>
          <w:b/>
          <w:bCs/>
          <w:i w:val="0"/>
          <w:iCs w:val="0"/>
          <w:color w:val="000000" w:themeColor="text1"/>
          <w:sz w:val="24"/>
          <w:szCs w:val="24"/>
          <w14:textFill>
            <w14:solidFill>
              <w14:schemeClr w14:val="tx1"/>
            </w14:solidFill>
          </w14:textFill>
        </w:rPr>
        <w:t>CONTRATADO</w:t>
      </w:r>
      <w:r>
        <w:rPr>
          <w:rFonts w:ascii="Times New Roman" w:hAnsi="Times New Roman" w:cs="Times New Roman"/>
          <w:i w:val="0"/>
          <w:iCs w:val="0"/>
          <w:color w:val="000000" w:themeColor="text1"/>
          <w:sz w:val="24"/>
          <w:szCs w:val="24"/>
          <w14:textFill>
            <w14:solidFill>
              <w14:schemeClr w14:val="tx1"/>
            </w14:solidFill>
          </w14:textFill>
        </w:rPr>
        <w:t>, na forma do item 10.16 deste Contrato.</w:t>
      </w:r>
    </w:p>
    <w:p w14:paraId="25BF4FCE">
      <w:pPr>
        <w:pStyle w:val="108"/>
        <w:numPr>
          <w:ilvl w:val="0"/>
          <w:numId w:val="0"/>
        </w:numPr>
        <w:spacing w:before="0"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p>
    <w:p w14:paraId="3765671B">
      <w:pPr>
        <w:pStyle w:val="108"/>
        <w:numPr>
          <w:ilvl w:val="0"/>
          <w:numId w:val="0"/>
        </w:numPr>
        <w:spacing w:before="0"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r>
        <w:rPr>
          <w:rFonts w:ascii="Times New Roman" w:hAnsi="Times New Roman" w:cs="Times New Roman"/>
          <w:i w:val="0"/>
          <w:iCs w:val="0"/>
          <w:color w:val="000000" w:themeColor="text1"/>
          <w:sz w:val="24"/>
          <w:szCs w:val="24"/>
          <w14:textFill>
            <w14:solidFill>
              <w14:schemeClr w14:val="tx1"/>
            </w14:solidFill>
          </w14:textFill>
        </w:rPr>
        <w:t xml:space="preserve">10.11 O </w:t>
      </w:r>
      <w:r>
        <w:rPr>
          <w:rFonts w:ascii="Times New Roman" w:hAnsi="Times New Roman" w:cs="Times New Roman"/>
          <w:b/>
          <w:bCs/>
          <w:i w:val="0"/>
          <w:iCs w:val="0"/>
          <w:color w:val="000000" w:themeColor="text1"/>
          <w:sz w:val="24"/>
          <w:szCs w:val="24"/>
          <w14:textFill>
            <w14:solidFill>
              <w14:schemeClr w14:val="tx1"/>
            </w14:solidFill>
          </w14:textFill>
        </w:rPr>
        <w:t>CONTRATADO</w:t>
      </w:r>
      <w:r>
        <w:rPr>
          <w:rFonts w:ascii="Times New Roman" w:hAnsi="Times New Roman" w:cs="Times New Roman"/>
          <w:i w:val="0"/>
          <w:iCs w:val="0"/>
          <w:color w:val="000000" w:themeColor="text1"/>
          <w:sz w:val="24"/>
          <w:szCs w:val="24"/>
          <w14:textFill>
            <w14:solidFill>
              <w14:schemeClr w14:val="tx1"/>
            </w14:solidFill>
          </w14:textFill>
        </w:rPr>
        <w:t xml:space="preserve"> obriga-se a fazer a reposição, a suplementação ou a renovação da garantia, no prazo máximo de 10 (dez) dias úteis, contados da data em que for notificado, no caso desta ser executada, total ou parcialmente, ou o Contrato for prorrogado ou tiver o seu valor alterado, assim como em qualquer outra situação que exija a manutenção da condição disposta no item 10.1 desta cláusula. </w:t>
      </w:r>
    </w:p>
    <w:p w14:paraId="48314568">
      <w:pPr>
        <w:spacing w:line="288" w:lineRule="auto"/>
        <w:ind w:left="567"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xml:space="preserve">10.12 A inobservância do prazo fixado para apresentação, reposição, suplementação ou renovação da garantia acarretará a aplicação de multa e/ou outras penalidades, na forma disposta na cláusula décima segunda. </w:t>
      </w:r>
    </w:p>
    <w:p w14:paraId="25409561">
      <w:pPr>
        <w:spacing w:line="288" w:lineRule="auto"/>
        <w:ind w:left="567" w:right="565"/>
        <w:contextualSpacing/>
        <w:jc w:val="both"/>
        <w:rPr>
          <w:color w:val="000000" w:themeColor="text1"/>
          <w:sz w:val="24"/>
          <w:szCs w:val="24"/>
          <w14:textFill>
            <w14:solidFill>
              <w14:schemeClr w14:val="tx1"/>
            </w14:solidFill>
          </w14:textFill>
        </w:rPr>
      </w:pPr>
    </w:p>
    <w:p w14:paraId="39AF619C">
      <w:pPr>
        <w:spacing w:line="288" w:lineRule="auto"/>
        <w:ind w:left="567"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xml:space="preserve">10.12.1 O atraso superior a 25 (vinte e cinco) dias autoriza o </w:t>
      </w:r>
      <w:r>
        <w:rPr>
          <w:b/>
          <w:bCs/>
          <w:color w:val="000000" w:themeColor="text1"/>
          <w:sz w:val="24"/>
          <w:szCs w:val="24"/>
          <w14:textFill>
            <w14:solidFill>
              <w14:schemeClr w14:val="tx1"/>
            </w14:solidFill>
          </w14:textFill>
        </w:rPr>
        <w:t>CONTRATANTE</w:t>
      </w:r>
      <w:r>
        <w:rPr>
          <w:color w:val="000000" w:themeColor="text1"/>
          <w:sz w:val="24"/>
          <w:szCs w:val="24"/>
          <w14:textFill>
            <w14:solidFill>
              <w14:schemeClr w14:val="tx1"/>
            </w14:solidFill>
          </w14:textFill>
        </w:rPr>
        <w:t xml:space="preserve"> a promover a rescisão do Contrato por descumprimento ou cumprimento irregular de suas cláusulas, com a aplicação das sanções cabíveis.</w:t>
      </w:r>
    </w:p>
    <w:p w14:paraId="1840806E">
      <w:pPr>
        <w:spacing w:line="288" w:lineRule="auto"/>
        <w:ind w:left="567" w:right="565"/>
        <w:contextualSpacing/>
        <w:jc w:val="both"/>
        <w:rPr>
          <w:color w:val="000000" w:themeColor="text1"/>
          <w:sz w:val="24"/>
          <w:szCs w:val="24"/>
          <w14:textFill>
            <w14:solidFill>
              <w14:schemeClr w14:val="tx1"/>
            </w14:solidFill>
          </w14:textFill>
        </w:rPr>
      </w:pPr>
    </w:p>
    <w:p w14:paraId="7D8BBEDE">
      <w:pPr>
        <w:spacing w:line="288" w:lineRule="auto"/>
        <w:ind w:left="567"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xml:space="preserve">10.13 O </w:t>
      </w:r>
      <w:r>
        <w:rPr>
          <w:b/>
          <w:bCs/>
          <w:color w:val="000000" w:themeColor="text1"/>
          <w:sz w:val="24"/>
          <w:szCs w:val="24"/>
          <w14:textFill>
            <w14:solidFill>
              <w14:schemeClr w14:val="tx1"/>
            </w14:solidFill>
          </w14:textFill>
        </w:rPr>
        <w:t>CONTRATANTE</w:t>
      </w:r>
      <w:r>
        <w:rPr>
          <w:color w:val="000000" w:themeColor="text1"/>
          <w:sz w:val="24"/>
          <w:szCs w:val="24"/>
          <w14:textFill>
            <w14:solidFill>
              <w14:schemeClr w14:val="tx1"/>
            </w14:solidFill>
          </w14:textFill>
        </w:rPr>
        <w:t xml:space="preserve"> executará a garantia na forma prevista na legislação que rege a matéria.</w:t>
      </w:r>
    </w:p>
    <w:p w14:paraId="752652B7">
      <w:pPr>
        <w:spacing w:line="288" w:lineRule="auto"/>
        <w:ind w:left="567" w:right="565"/>
        <w:contextualSpacing/>
        <w:jc w:val="both"/>
        <w:rPr>
          <w:color w:val="000000" w:themeColor="text1"/>
          <w:sz w:val="24"/>
          <w:szCs w:val="24"/>
          <w14:textFill>
            <w14:solidFill>
              <w14:schemeClr w14:val="tx1"/>
            </w14:solidFill>
          </w14:textFill>
        </w:rPr>
      </w:pPr>
    </w:p>
    <w:p w14:paraId="5A403149">
      <w:pPr>
        <w:spacing w:line="288" w:lineRule="auto"/>
        <w:ind w:left="567"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xml:space="preserve">10.14 O emitente da garantia ofertada pelo </w:t>
      </w:r>
      <w:r>
        <w:rPr>
          <w:b/>
          <w:bCs/>
          <w:color w:val="000000" w:themeColor="text1"/>
          <w:sz w:val="24"/>
          <w:szCs w:val="24"/>
          <w14:textFill>
            <w14:solidFill>
              <w14:schemeClr w14:val="tx1"/>
            </w14:solidFill>
          </w14:textFill>
        </w:rPr>
        <w:t>CONTRATADO</w:t>
      </w:r>
      <w:r>
        <w:rPr>
          <w:color w:val="000000" w:themeColor="text1"/>
          <w:sz w:val="24"/>
          <w:szCs w:val="24"/>
          <w14:textFill>
            <w14:solidFill>
              <w14:schemeClr w14:val="tx1"/>
            </w14:solidFill>
          </w14:textFill>
        </w:rPr>
        <w:t xml:space="preserve"> deverá ser notificado pelo </w:t>
      </w:r>
      <w:r>
        <w:rPr>
          <w:b/>
          <w:bCs/>
          <w:color w:val="000000" w:themeColor="text1"/>
          <w:sz w:val="24"/>
          <w:szCs w:val="24"/>
          <w14:textFill>
            <w14:solidFill>
              <w14:schemeClr w14:val="tx1"/>
            </w14:solidFill>
          </w14:textFill>
        </w:rPr>
        <w:t>CONTRATANTE</w:t>
      </w:r>
      <w:r>
        <w:rPr>
          <w:color w:val="000000" w:themeColor="text1"/>
          <w:sz w:val="24"/>
          <w:szCs w:val="24"/>
          <w14:textFill>
            <w14:solidFill>
              <w14:schemeClr w14:val="tx1"/>
            </w14:solidFill>
          </w14:textFill>
        </w:rPr>
        <w:t xml:space="preserve"> quanto ao início de processo administrativo para apuração de descumprimento de cláusulas contratuais.</w:t>
      </w:r>
    </w:p>
    <w:p w14:paraId="6BAFB2A1">
      <w:pPr>
        <w:spacing w:line="288" w:lineRule="auto"/>
        <w:ind w:left="567" w:right="565"/>
        <w:contextualSpacing/>
        <w:jc w:val="both"/>
        <w:rPr>
          <w:color w:val="000000" w:themeColor="text1"/>
          <w:sz w:val="24"/>
          <w:szCs w:val="24"/>
          <w14:textFill>
            <w14:solidFill>
              <w14:schemeClr w14:val="tx1"/>
            </w14:solidFill>
          </w14:textFill>
        </w:rPr>
      </w:pPr>
    </w:p>
    <w:p w14:paraId="4E64C705">
      <w:pPr>
        <w:spacing w:line="288" w:lineRule="auto"/>
        <w:ind w:left="567"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xml:space="preserve">10.14.1 O garantidor não é parte para figurar em processo administrativo instaurado pelo </w:t>
      </w:r>
      <w:r>
        <w:rPr>
          <w:b/>
          <w:bCs/>
          <w:color w:val="000000" w:themeColor="text1"/>
          <w:sz w:val="24"/>
          <w:szCs w:val="24"/>
          <w14:textFill>
            <w14:solidFill>
              <w14:schemeClr w14:val="tx1"/>
            </w14:solidFill>
          </w14:textFill>
        </w:rPr>
        <w:t>CONTRATANTE</w:t>
      </w:r>
      <w:r>
        <w:rPr>
          <w:color w:val="000000" w:themeColor="text1"/>
          <w:sz w:val="24"/>
          <w:szCs w:val="24"/>
          <w14:textFill>
            <w14:solidFill>
              <w14:schemeClr w14:val="tx1"/>
            </w14:solidFill>
          </w14:textFill>
        </w:rPr>
        <w:t xml:space="preserve"> com o objetivo de apurar prejuízos e/ou aplicar sanções ao </w:t>
      </w:r>
      <w:r>
        <w:rPr>
          <w:b/>
          <w:bCs/>
          <w:color w:val="000000" w:themeColor="text1"/>
          <w:sz w:val="24"/>
          <w:szCs w:val="24"/>
          <w14:textFill>
            <w14:solidFill>
              <w14:schemeClr w14:val="tx1"/>
            </w14:solidFill>
          </w14:textFill>
        </w:rPr>
        <w:t>CONTRATADO</w:t>
      </w:r>
      <w:r>
        <w:rPr>
          <w:color w:val="000000" w:themeColor="text1"/>
          <w:sz w:val="24"/>
          <w:szCs w:val="24"/>
          <w14:textFill>
            <w14:solidFill>
              <w14:schemeClr w14:val="tx1"/>
            </w14:solidFill>
          </w14:textFill>
        </w:rPr>
        <w:t>.</w:t>
      </w:r>
    </w:p>
    <w:p w14:paraId="0B33E077">
      <w:pPr>
        <w:spacing w:line="288" w:lineRule="auto"/>
        <w:ind w:left="567" w:right="565"/>
        <w:contextualSpacing/>
        <w:jc w:val="both"/>
        <w:rPr>
          <w:color w:val="000000" w:themeColor="text1"/>
          <w:sz w:val="24"/>
          <w:szCs w:val="24"/>
          <w14:textFill>
            <w14:solidFill>
              <w14:schemeClr w14:val="tx1"/>
            </w14:solidFill>
          </w14:textFill>
        </w:rPr>
      </w:pPr>
    </w:p>
    <w:p w14:paraId="6036D9F2">
      <w:pPr>
        <w:spacing w:line="288" w:lineRule="auto"/>
        <w:ind w:left="567"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10.15 Caso se trate da modalidade seguro-garantia, ocorrido o sinistro durante a vigência da apólice, sua caracterização e comunicação poderão ocorrer fora desta vigência, não caracterizando fato que justifique a negativa do sinistro, desde que respeitados os prazos prescricionais aplicados ao contrato de seguro, nos termos do art. 20 da Circular Susep n° 662, de 11 de abril de 2022.</w:t>
      </w:r>
    </w:p>
    <w:p w14:paraId="3353F2E7">
      <w:pPr>
        <w:spacing w:line="288" w:lineRule="auto"/>
        <w:ind w:left="567" w:right="565"/>
        <w:contextualSpacing/>
        <w:jc w:val="both"/>
        <w:rPr>
          <w:color w:val="000000" w:themeColor="text1"/>
          <w:sz w:val="24"/>
          <w:szCs w:val="24"/>
          <w14:textFill>
            <w14:solidFill>
              <w14:schemeClr w14:val="tx1"/>
            </w14:solidFill>
          </w14:textFill>
        </w:rPr>
      </w:pPr>
    </w:p>
    <w:p w14:paraId="369A6787">
      <w:pPr>
        <w:spacing w:line="288" w:lineRule="auto"/>
        <w:ind w:left="567"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xml:space="preserve">10.16 Extinguir-se-á a garantia com a restituição da apólice, carta fiança, título da dívida pública ou autorização para a liberação da caução em dinheiro, atualizada monetariamente, acompanhada de declaração do </w:t>
      </w:r>
      <w:r>
        <w:rPr>
          <w:b/>
          <w:bCs/>
          <w:color w:val="000000" w:themeColor="text1"/>
          <w:sz w:val="24"/>
          <w:szCs w:val="24"/>
          <w14:textFill>
            <w14:solidFill>
              <w14:schemeClr w14:val="tx1"/>
            </w14:solidFill>
          </w14:textFill>
        </w:rPr>
        <w:t>CONTRATANTE</w:t>
      </w:r>
      <w:r>
        <w:rPr>
          <w:color w:val="000000" w:themeColor="text1"/>
          <w:sz w:val="24"/>
          <w:szCs w:val="24"/>
          <w14:textFill>
            <w14:solidFill>
              <w14:schemeClr w14:val="tx1"/>
            </w14:solidFill>
          </w14:textFill>
        </w:rPr>
        <w:t xml:space="preserve">, mediante termo circunstanciado, de que o </w:t>
      </w:r>
      <w:r>
        <w:rPr>
          <w:b/>
          <w:bCs/>
          <w:color w:val="000000" w:themeColor="text1"/>
          <w:sz w:val="24"/>
          <w:szCs w:val="24"/>
          <w14:textFill>
            <w14:solidFill>
              <w14:schemeClr w14:val="tx1"/>
            </w14:solidFill>
          </w14:textFill>
        </w:rPr>
        <w:t>CONTRATADO</w:t>
      </w:r>
      <w:r>
        <w:rPr>
          <w:color w:val="000000" w:themeColor="text1"/>
          <w:sz w:val="24"/>
          <w:szCs w:val="24"/>
          <w14:textFill>
            <w14:solidFill>
              <w14:schemeClr w14:val="tx1"/>
            </w14:solidFill>
          </w14:textFill>
        </w:rPr>
        <w:t xml:space="preserve"> cumpriu todas as cláusulas do Contrato.</w:t>
      </w:r>
    </w:p>
    <w:p w14:paraId="5C827730">
      <w:pPr>
        <w:spacing w:line="288" w:lineRule="auto"/>
        <w:ind w:left="567" w:right="565"/>
        <w:contextualSpacing/>
        <w:jc w:val="both"/>
        <w:rPr>
          <w:color w:val="000000" w:themeColor="text1"/>
          <w:sz w:val="24"/>
          <w:szCs w:val="24"/>
          <w14:textFill>
            <w14:solidFill>
              <w14:schemeClr w14:val="tx1"/>
            </w14:solidFill>
          </w14:textFill>
        </w:rPr>
      </w:pPr>
    </w:p>
    <w:p w14:paraId="142361C7">
      <w:pPr>
        <w:spacing w:line="288" w:lineRule="auto"/>
        <w:ind w:left="567"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10.16.1 A garantia somente será liberada ou restituída, após a fiel execução do Contrato ou pela sua extinção, por culpa exclusiva da Administração, ou quando assim convencionado, em se tratando de extinção consensual da contratação.</w:t>
      </w:r>
    </w:p>
    <w:p w14:paraId="2C6AD401">
      <w:pPr>
        <w:pStyle w:val="108"/>
        <w:numPr>
          <w:ilvl w:val="0"/>
          <w:numId w:val="0"/>
        </w:numPr>
        <w:spacing w:before="0" w:after="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p>
    <w:p w14:paraId="1953F37F">
      <w:pPr>
        <w:pStyle w:val="108"/>
        <w:numPr>
          <w:ilvl w:val="0"/>
          <w:numId w:val="0"/>
        </w:numPr>
        <w:spacing w:before="0" w:after="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r>
        <w:rPr>
          <w:rFonts w:ascii="Times New Roman" w:hAnsi="Times New Roman" w:cs="Times New Roman"/>
          <w:i w:val="0"/>
          <w:iCs w:val="0"/>
          <w:color w:val="000000" w:themeColor="text1"/>
          <w:sz w:val="24"/>
          <w:szCs w:val="24"/>
          <w14:textFill>
            <w14:solidFill>
              <w14:schemeClr w14:val="tx1"/>
            </w14:solidFill>
          </w14:textFill>
        </w:rPr>
        <w:t xml:space="preserve">10.17 O </w:t>
      </w:r>
      <w:r>
        <w:rPr>
          <w:rFonts w:ascii="Times New Roman" w:hAnsi="Times New Roman" w:cs="Times New Roman"/>
          <w:b/>
          <w:bCs/>
          <w:i w:val="0"/>
          <w:iCs w:val="0"/>
          <w:color w:val="000000" w:themeColor="text1"/>
          <w:sz w:val="24"/>
          <w:szCs w:val="24"/>
          <w14:textFill>
            <w14:solidFill>
              <w14:schemeClr w14:val="tx1"/>
            </w14:solidFill>
          </w14:textFill>
        </w:rPr>
        <w:t>CONTRATADO</w:t>
      </w:r>
      <w:r>
        <w:rPr>
          <w:rFonts w:ascii="Times New Roman" w:hAnsi="Times New Roman" w:cs="Times New Roman"/>
          <w:i w:val="0"/>
          <w:iCs w:val="0"/>
          <w:color w:val="000000" w:themeColor="text1"/>
          <w:sz w:val="24"/>
          <w:szCs w:val="24"/>
          <w14:textFill>
            <w14:solidFill>
              <w14:schemeClr w14:val="tx1"/>
            </w14:solidFill>
          </w14:textFill>
        </w:rPr>
        <w:t xml:space="preserve"> autoriza o </w:t>
      </w:r>
      <w:r>
        <w:rPr>
          <w:rFonts w:ascii="Times New Roman" w:hAnsi="Times New Roman" w:cs="Times New Roman"/>
          <w:b/>
          <w:bCs/>
          <w:i w:val="0"/>
          <w:iCs w:val="0"/>
          <w:color w:val="000000" w:themeColor="text1"/>
          <w:sz w:val="24"/>
          <w:szCs w:val="24"/>
          <w14:textFill>
            <w14:solidFill>
              <w14:schemeClr w14:val="tx1"/>
            </w14:solidFill>
          </w14:textFill>
        </w:rPr>
        <w:t>CONTRATANTE</w:t>
      </w:r>
      <w:r>
        <w:rPr>
          <w:rFonts w:ascii="Times New Roman" w:hAnsi="Times New Roman" w:cs="Times New Roman"/>
          <w:i w:val="0"/>
          <w:iCs w:val="0"/>
          <w:color w:val="000000" w:themeColor="text1"/>
          <w:sz w:val="24"/>
          <w:szCs w:val="24"/>
          <w14:textFill>
            <w14:solidFill>
              <w14:schemeClr w14:val="tx1"/>
            </w14:solidFill>
          </w14:textFill>
        </w:rPr>
        <w:t xml:space="preserve"> a reter, a qualquer tempo, a garantia, na forma prevista no Edital e neste Contrato.</w:t>
      </w:r>
    </w:p>
    <w:p w14:paraId="44B10D67">
      <w:pPr>
        <w:pStyle w:val="108"/>
        <w:numPr>
          <w:ilvl w:val="0"/>
          <w:numId w:val="0"/>
        </w:numPr>
        <w:spacing w:before="0" w:after="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p>
    <w:p w14:paraId="575C0015">
      <w:pPr>
        <w:pStyle w:val="105"/>
        <w:numPr>
          <w:ilvl w:val="0"/>
          <w:numId w:val="0"/>
        </w:numPr>
        <w:spacing w:before="0" w:line="288" w:lineRule="auto"/>
        <w:ind w:left="32"/>
        <w:contextualSpacing/>
        <w:rPr>
          <w:rFonts w:ascii="Times New Roman" w:hAnsi="Times New Roman"/>
          <w:color w:val="auto"/>
          <w:sz w:val="24"/>
          <w:szCs w:val="24"/>
        </w:rPr>
      </w:pPr>
      <w:r>
        <w:rPr>
          <w:rFonts w:ascii="Times New Roman" w:hAnsi="Times New Roman"/>
          <w:color w:val="auto"/>
          <w:sz w:val="24"/>
          <w:szCs w:val="24"/>
        </w:rPr>
        <w:t xml:space="preserve">CLÁUSULA DÉCIMA PRIMEIRA – DAS INFRAÇÕES ADMINISTRATIVAS E SANÇÕES </w:t>
      </w:r>
    </w:p>
    <w:p w14:paraId="7F7C1365">
      <w:pPr>
        <w:spacing w:line="288" w:lineRule="auto"/>
        <w:contextualSpacing/>
        <w:jc w:val="both"/>
        <w:rPr>
          <w:sz w:val="24"/>
          <w:szCs w:val="24"/>
        </w:rPr>
      </w:pPr>
    </w:p>
    <w:p w14:paraId="56010DDD">
      <w:pPr>
        <w:spacing w:line="288" w:lineRule="auto"/>
        <w:contextualSpacing/>
        <w:jc w:val="both"/>
        <w:rPr>
          <w:color w:val="000000"/>
          <w:sz w:val="24"/>
          <w:szCs w:val="24"/>
        </w:rPr>
      </w:pPr>
      <w:r>
        <w:rPr>
          <w:color w:val="000000"/>
          <w:sz w:val="24"/>
          <w:szCs w:val="24"/>
        </w:rPr>
        <w:t xml:space="preserve">11.1 Constitui infração administrativa, a prática, pelo </w:t>
      </w:r>
      <w:r>
        <w:rPr>
          <w:b/>
          <w:bCs/>
          <w:color w:val="000000"/>
          <w:sz w:val="24"/>
          <w:szCs w:val="24"/>
        </w:rPr>
        <w:t>CONTRATADO</w:t>
      </w:r>
      <w:r>
        <w:rPr>
          <w:color w:val="000000"/>
          <w:sz w:val="24"/>
          <w:szCs w:val="24"/>
        </w:rPr>
        <w:t>, das seguintes condutas previstas no art. 155 da Lei nº 14.133/2021:</w:t>
      </w:r>
    </w:p>
    <w:p w14:paraId="017DC103">
      <w:pPr>
        <w:spacing w:line="288" w:lineRule="auto"/>
        <w:contextualSpacing/>
        <w:jc w:val="both"/>
        <w:rPr>
          <w:color w:val="000000"/>
          <w:sz w:val="24"/>
          <w:szCs w:val="24"/>
        </w:rPr>
      </w:pPr>
    </w:p>
    <w:p w14:paraId="50624EE1">
      <w:pPr>
        <w:spacing w:line="288" w:lineRule="auto"/>
        <w:contextualSpacing/>
        <w:jc w:val="both"/>
        <w:rPr>
          <w:sz w:val="24"/>
          <w:szCs w:val="24"/>
        </w:rPr>
      </w:pPr>
      <w:r>
        <w:rPr>
          <w:color w:val="000000"/>
          <w:sz w:val="24"/>
          <w:szCs w:val="24"/>
        </w:rPr>
        <w:t>11.1.1 dar causa à inexecução parcial do contrato</w:t>
      </w:r>
      <w:r>
        <w:rPr>
          <w:sz w:val="24"/>
          <w:szCs w:val="24"/>
        </w:rPr>
        <w:t>;</w:t>
      </w:r>
    </w:p>
    <w:p w14:paraId="6678EFD2">
      <w:pPr>
        <w:spacing w:line="288" w:lineRule="auto"/>
        <w:contextualSpacing/>
        <w:jc w:val="both"/>
        <w:rPr>
          <w:sz w:val="24"/>
          <w:szCs w:val="24"/>
        </w:rPr>
      </w:pPr>
    </w:p>
    <w:p w14:paraId="489527AD">
      <w:pPr>
        <w:spacing w:line="288" w:lineRule="auto"/>
        <w:contextualSpacing/>
        <w:jc w:val="both"/>
        <w:rPr>
          <w:sz w:val="24"/>
          <w:szCs w:val="24"/>
        </w:rPr>
      </w:pPr>
      <w:r>
        <w:rPr>
          <w:sz w:val="24"/>
          <w:szCs w:val="24"/>
        </w:rPr>
        <w:t xml:space="preserve">11.1.2 </w:t>
      </w:r>
      <w:r>
        <w:rPr>
          <w:color w:val="000000"/>
          <w:sz w:val="24"/>
          <w:szCs w:val="24"/>
        </w:rPr>
        <w:t>dar causa à inexecução parcial do contrato que cause grave dano à Administração, ao funcionamento dos serviços públicos ou ao interesse coletivo;</w:t>
      </w:r>
    </w:p>
    <w:p w14:paraId="1D1FF044">
      <w:pPr>
        <w:spacing w:line="288" w:lineRule="auto"/>
        <w:contextualSpacing/>
        <w:jc w:val="both"/>
        <w:rPr>
          <w:color w:val="000000"/>
          <w:sz w:val="24"/>
          <w:szCs w:val="24"/>
        </w:rPr>
      </w:pPr>
    </w:p>
    <w:p w14:paraId="6D512110">
      <w:pPr>
        <w:spacing w:line="288" w:lineRule="auto"/>
        <w:contextualSpacing/>
        <w:jc w:val="both"/>
        <w:rPr>
          <w:sz w:val="24"/>
          <w:szCs w:val="24"/>
        </w:rPr>
      </w:pPr>
      <w:r>
        <w:rPr>
          <w:color w:val="000000"/>
          <w:sz w:val="24"/>
          <w:szCs w:val="24"/>
        </w:rPr>
        <w:t>11.1.3 dar causa à inexecução total do contrato;</w:t>
      </w:r>
    </w:p>
    <w:p w14:paraId="5C6E6423">
      <w:pPr>
        <w:spacing w:line="288" w:lineRule="auto"/>
        <w:contextualSpacing/>
        <w:jc w:val="both"/>
        <w:rPr>
          <w:color w:val="000000"/>
          <w:sz w:val="24"/>
          <w:szCs w:val="24"/>
        </w:rPr>
      </w:pPr>
    </w:p>
    <w:p w14:paraId="12048057">
      <w:pPr>
        <w:spacing w:line="288" w:lineRule="auto"/>
        <w:contextualSpacing/>
        <w:jc w:val="both"/>
        <w:rPr>
          <w:sz w:val="24"/>
          <w:szCs w:val="24"/>
        </w:rPr>
      </w:pPr>
      <w:r>
        <w:rPr>
          <w:color w:val="000000"/>
          <w:sz w:val="24"/>
          <w:szCs w:val="24"/>
        </w:rPr>
        <w:t xml:space="preserve">11.1.4 deixar de entregar a documentação exigida para o certame ou não entregar qualquer documento que tenha sido solicitado pelo pregoeiro durante o certame; </w:t>
      </w:r>
    </w:p>
    <w:p w14:paraId="51BC331D">
      <w:pPr>
        <w:spacing w:line="288" w:lineRule="auto"/>
        <w:contextualSpacing/>
        <w:jc w:val="both"/>
        <w:rPr>
          <w:color w:val="000000"/>
          <w:sz w:val="24"/>
          <w:szCs w:val="24"/>
        </w:rPr>
      </w:pPr>
    </w:p>
    <w:p w14:paraId="3C01D180">
      <w:pPr>
        <w:spacing w:line="288" w:lineRule="auto"/>
        <w:contextualSpacing/>
        <w:jc w:val="both"/>
        <w:rPr>
          <w:color w:val="000000"/>
          <w:sz w:val="24"/>
          <w:szCs w:val="24"/>
        </w:rPr>
      </w:pPr>
      <w:r>
        <w:rPr>
          <w:color w:val="000000"/>
          <w:sz w:val="24"/>
          <w:szCs w:val="24"/>
        </w:rPr>
        <w:t>11.1.5 não manter a proposta, salvo em decorrência de fato superveniente devidamente justificado, em especial quando:</w:t>
      </w:r>
    </w:p>
    <w:p w14:paraId="2CCEFFE8">
      <w:pPr>
        <w:spacing w:line="288" w:lineRule="auto"/>
        <w:contextualSpacing/>
        <w:jc w:val="both"/>
        <w:rPr>
          <w:sz w:val="24"/>
          <w:szCs w:val="24"/>
        </w:rPr>
      </w:pPr>
    </w:p>
    <w:p w14:paraId="1C3C2A0B">
      <w:pPr>
        <w:spacing w:line="288" w:lineRule="auto"/>
        <w:contextualSpacing/>
        <w:jc w:val="both"/>
        <w:rPr>
          <w:sz w:val="24"/>
          <w:szCs w:val="24"/>
        </w:rPr>
      </w:pPr>
      <w:r>
        <w:rPr>
          <w:sz w:val="24"/>
          <w:szCs w:val="24"/>
        </w:rPr>
        <w:t xml:space="preserve">11.1.5.1 não enviar a proposta adequada ao último lance ofertado ou após a negociação; </w:t>
      </w:r>
    </w:p>
    <w:p w14:paraId="4B25BBC4">
      <w:pPr>
        <w:spacing w:line="288" w:lineRule="auto"/>
        <w:contextualSpacing/>
        <w:jc w:val="both"/>
        <w:rPr>
          <w:sz w:val="24"/>
          <w:szCs w:val="24"/>
        </w:rPr>
      </w:pPr>
    </w:p>
    <w:p w14:paraId="01A12AE5">
      <w:pPr>
        <w:spacing w:line="288" w:lineRule="auto"/>
        <w:contextualSpacing/>
        <w:jc w:val="both"/>
        <w:rPr>
          <w:sz w:val="24"/>
          <w:szCs w:val="24"/>
        </w:rPr>
      </w:pPr>
      <w:r>
        <w:rPr>
          <w:sz w:val="24"/>
          <w:szCs w:val="24"/>
        </w:rPr>
        <w:t xml:space="preserve">11.1.5.2 recusar-se a enviar o detalhamento da proposta quando exigível; </w:t>
      </w:r>
    </w:p>
    <w:p w14:paraId="1EF73AC2">
      <w:pPr>
        <w:spacing w:line="288" w:lineRule="auto"/>
        <w:contextualSpacing/>
        <w:jc w:val="both"/>
        <w:rPr>
          <w:sz w:val="24"/>
          <w:szCs w:val="24"/>
        </w:rPr>
      </w:pPr>
    </w:p>
    <w:p w14:paraId="0D95D45C">
      <w:pPr>
        <w:spacing w:line="288" w:lineRule="auto"/>
        <w:contextualSpacing/>
        <w:jc w:val="both"/>
        <w:rPr>
          <w:sz w:val="24"/>
          <w:szCs w:val="24"/>
        </w:rPr>
      </w:pPr>
      <w:r>
        <w:rPr>
          <w:sz w:val="24"/>
          <w:szCs w:val="24"/>
        </w:rPr>
        <w:t xml:space="preserve">11.1.5.3 pedir para ser desclassificado quando encerrada a etapa competitiva; ou </w:t>
      </w:r>
    </w:p>
    <w:p w14:paraId="48008F05">
      <w:pPr>
        <w:spacing w:line="288" w:lineRule="auto"/>
        <w:contextualSpacing/>
        <w:jc w:val="both"/>
        <w:rPr>
          <w:sz w:val="24"/>
          <w:szCs w:val="24"/>
        </w:rPr>
      </w:pPr>
    </w:p>
    <w:p w14:paraId="587BA0D9">
      <w:pPr>
        <w:spacing w:line="288" w:lineRule="auto"/>
        <w:contextualSpacing/>
        <w:jc w:val="both"/>
        <w:rPr>
          <w:sz w:val="24"/>
          <w:szCs w:val="24"/>
        </w:rPr>
      </w:pPr>
      <w:r>
        <w:rPr>
          <w:sz w:val="24"/>
          <w:szCs w:val="24"/>
        </w:rPr>
        <w:t>11.1.5.4 deixar de apresentar amostra;</w:t>
      </w:r>
    </w:p>
    <w:p w14:paraId="19D687E4">
      <w:pPr>
        <w:spacing w:line="288" w:lineRule="auto"/>
        <w:contextualSpacing/>
        <w:jc w:val="both"/>
        <w:rPr>
          <w:sz w:val="24"/>
          <w:szCs w:val="24"/>
        </w:rPr>
      </w:pPr>
    </w:p>
    <w:p w14:paraId="5627EE40">
      <w:pPr>
        <w:spacing w:line="288" w:lineRule="auto"/>
        <w:contextualSpacing/>
        <w:jc w:val="both"/>
        <w:rPr>
          <w:sz w:val="24"/>
          <w:szCs w:val="24"/>
        </w:rPr>
      </w:pPr>
      <w:r>
        <w:rPr>
          <w:sz w:val="24"/>
          <w:szCs w:val="24"/>
        </w:rPr>
        <w:t xml:space="preserve">11.1.5.5 apresentar proposta ou amostra em desacordo com as especificações do instrumento convocatório; </w:t>
      </w:r>
    </w:p>
    <w:p w14:paraId="54EBDE79">
      <w:pPr>
        <w:spacing w:line="288" w:lineRule="auto"/>
        <w:contextualSpacing/>
        <w:jc w:val="both"/>
        <w:rPr>
          <w:color w:val="000000"/>
          <w:sz w:val="24"/>
          <w:szCs w:val="24"/>
        </w:rPr>
      </w:pPr>
    </w:p>
    <w:p w14:paraId="77C29DE6">
      <w:pPr>
        <w:spacing w:line="288" w:lineRule="auto"/>
        <w:contextualSpacing/>
        <w:jc w:val="both"/>
        <w:rPr>
          <w:color w:val="000000"/>
          <w:sz w:val="24"/>
          <w:szCs w:val="24"/>
        </w:rPr>
      </w:pPr>
      <w:r>
        <w:rPr>
          <w:color w:val="000000"/>
          <w:sz w:val="24"/>
          <w:szCs w:val="24"/>
        </w:rPr>
        <w:t>11.1.6 não celebrar o contrato ou não entregar a documentação exigida para a contratação, quando convocado dentro do prazo de validade de sua proposta;</w:t>
      </w:r>
    </w:p>
    <w:p w14:paraId="00306783">
      <w:pPr>
        <w:spacing w:line="288" w:lineRule="auto"/>
        <w:contextualSpacing/>
        <w:jc w:val="both"/>
        <w:rPr>
          <w:sz w:val="24"/>
          <w:szCs w:val="24"/>
        </w:rPr>
      </w:pPr>
    </w:p>
    <w:p w14:paraId="5BFFAFE1">
      <w:pPr>
        <w:spacing w:line="288" w:lineRule="auto"/>
        <w:contextualSpacing/>
        <w:jc w:val="both"/>
        <w:rPr>
          <w:sz w:val="24"/>
          <w:szCs w:val="24"/>
        </w:rPr>
      </w:pPr>
      <w:r>
        <w:rPr>
          <w:sz w:val="24"/>
          <w:szCs w:val="24"/>
        </w:rPr>
        <w:t>11.1.6.1 recusar-se, sem justificativa, a assinar o contrato ou a ata de registro de preço, ou a aceitar ou retirar o instrumento equivalente no prazo estabelecido pela Administração;</w:t>
      </w:r>
    </w:p>
    <w:p w14:paraId="7B0B39C8">
      <w:pPr>
        <w:spacing w:line="288" w:lineRule="auto"/>
        <w:contextualSpacing/>
        <w:jc w:val="both"/>
        <w:rPr>
          <w:color w:val="000000"/>
          <w:sz w:val="24"/>
          <w:szCs w:val="24"/>
        </w:rPr>
      </w:pPr>
    </w:p>
    <w:p w14:paraId="78B49D39">
      <w:pPr>
        <w:spacing w:line="288" w:lineRule="auto"/>
        <w:contextualSpacing/>
        <w:jc w:val="both"/>
        <w:rPr>
          <w:color w:val="000000"/>
          <w:sz w:val="24"/>
          <w:szCs w:val="24"/>
        </w:rPr>
      </w:pPr>
      <w:r>
        <w:rPr>
          <w:color w:val="000000"/>
          <w:sz w:val="24"/>
          <w:szCs w:val="24"/>
        </w:rPr>
        <w:t>11.1.7 ensejar o retardamento da execução ou da entrega do objeto da contratação sem motivo justificado;</w:t>
      </w:r>
    </w:p>
    <w:p w14:paraId="44007F61">
      <w:pPr>
        <w:spacing w:line="288" w:lineRule="auto"/>
        <w:contextualSpacing/>
        <w:jc w:val="both"/>
        <w:rPr>
          <w:color w:val="000000"/>
          <w:sz w:val="24"/>
          <w:szCs w:val="24"/>
        </w:rPr>
      </w:pPr>
    </w:p>
    <w:p w14:paraId="622386D3">
      <w:pPr>
        <w:spacing w:line="288" w:lineRule="auto"/>
        <w:contextualSpacing/>
        <w:jc w:val="both"/>
        <w:rPr>
          <w:color w:val="000000"/>
          <w:sz w:val="24"/>
          <w:szCs w:val="24"/>
        </w:rPr>
      </w:pPr>
      <w:r>
        <w:rPr>
          <w:color w:val="000000"/>
          <w:sz w:val="24"/>
          <w:szCs w:val="24"/>
        </w:rPr>
        <w:t>11.1.8 apresentar declaração ou documentação falsa exigida para o certame ou prestar declaração falsa durante o certame ou a execução do contrato;</w:t>
      </w:r>
    </w:p>
    <w:p w14:paraId="07F83DA6">
      <w:pPr>
        <w:spacing w:line="288" w:lineRule="auto"/>
        <w:contextualSpacing/>
        <w:jc w:val="both"/>
        <w:rPr>
          <w:color w:val="000000"/>
          <w:sz w:val="24"/>
          <w:szCs w:val="24"/>
        </w:rPr>
      </w:pPr>
    </w:p>
    <w:p w14:paraId="5961B97B">
      <w:pPr>
        <w:spacing w:line="288" w:lineRule="auto"/>
        <w:contextualSpacing/>
        <w:jc w:val="both"/>
        <w:rPr>
          <w:color w:val="000000"/>
          <w:sz w:val="24"/>
          <w:szCs w:val="24"/>
        </w:rPr>
      </w:pPr>
      <w:r>
        <w:rPr>
          <w:color w:val="000000"/>
          <w:sz w:val="24"/>
          <w:szCs w:val="24"/>
        </w:rPr>
        <w:t>11.1.9 fraudar o certame ou praticar ato fraudulento na execução do contrato;</w:t>
      </w:r>
    </w:p>
    <w:p w14:paraId="15159C05">
      <w:pPr>
        <w:spacing w:line="288" w:lineRule="auto"/>
        <w:contextualSpacing/>
        <w:jc w:val="both"/>
        <w:rPr>
          <w:color w:val="000000"/>
          <w:sz w:val="24"/>
          <w:szCs w:val="24"/>
        </w:rPr>
      </w:pPr>
    </w:p>
    <w:p w14:paraId="790F3AB6">
      <w:pPr>
        <w:spacing w:line="288" w:lineRule="auto"/>
        <w:contextualSpacing/>
        <w:jc w:val="both"/>
        <w:rPr>
          <w:color w:val="000000"/>
          <w:sz w:val="24"/>
          <w:szCs w:val="24"/>
        </w:rPr>
      </w:pPr>
      <w:r>
        <w:rPr>
          <w:color w:val="000000"/>
          <w:sz w:val="24"/>
          <w:szCs w:val="24"/>
        </w:rPr>
        <w:t>11.1.10 comportar-se de modo inidôneo ou cometer fraude de qualquer natureza, em especial quando:</w:t>
      </w:r>
    </w:p>
    <w:p w14:paraId="584C6295">
      <w:pPr>
        <w:spacing w:line="288" w:lineRule="auto"/>
        <w:contextualSpacing/>
        <w:jc w:val="both"/>
        <w:rPr>
          <w:sz w:val="24"/>
          <w:szCs w:val="24"/>
        </w:rPr>
      </w:pPr>
    </w:p>
    <w:p w14:paraId="056EE1BF">
      <w:pPr>
        <w:spacing w:line="288" w:lineRule="auto"/>
        <w:contextualSpacing/>
        <w:jc w:val="both"/>
        <w:rPr>
          <w:sz w:val="24"/>
          <w:szCs w:val="24"/>
        </w:rPr>
      </w:pPr>
      <w:r>
        <w:rPr>
          <w:sz w:val="24"/>
          <w:szCs w:val="24"/>
        </w:rPr>
        <w:t xml:space="preserve">11.1.10.1 agir em conluio ou em desconformidade com a lei; </w:t>
      </w:r>
    </w:p>
    <w:p w14:paraId="09D71A48">
      <w:pPr>
        <w:spacing w:line="288" w:lineRule="auto"/>
        <w:contextualSpacing/>
        <w:jc w:val="both"/>
        <w:rPr>
          <w:sz w:val="24"/>
          <w:szCs w:val="24"/>
        </w:rPr>
      </w:pPr>
    </w:p>
    <w:p w14:paraId="1C17F0FC">
      <w:pPr>
        <w:spacing w:line="288" w:lineRule="auto"/>
        <w:contextualSpacing/>
        <w:jc w:val="both"/>
        <w:rPr>
          <w:sz w:val="24"/>
          <w:szCs w:val="24"/>
        </w:rPr>
      </w:pPr>
      <w:r>
        <w:rPr>
          <w:sz w:val="24"/>
          <w:szCs w:val="24"/>
        </w:rPr>
        <w:t xml:space="preserve">11.1.10.2 induzir deliberadamente a erro no julgamento; </w:t>
      </w:r>
    </w:p>
    <w:p w14:paraId="5D84A932">
      <w:pPr>
        <w:spacing w:line="288" w:lineRule="auto"/>
        <w:contextualSpacing/>
        <w:jc w:val="both"/>
        <w:rPr>
          <w:sz w:val="24"/>
          <w:szCs w:val="24"/>
        </w:rPr>
      </w:pPr>
    </w:p>
    <w:p w14:paraId="455BBF1A">
      <w:pPr>
        <w:spacing w:line="288" w:lineRule="auto"/>
        <w:contextualSpacing/>
        <w:jc w:val="both"/>
        <w:rPr>
          <w:sz w:val="24"/>
          <w:szCs w:val="24"/>
        </w:rPr>
      </w:pPr>
      <w:r>
        <w:rPr>
          <w:sz w:val="24"/>
          <w:szCs w:val="24"/>
        </w:rPr>
        <w:t xml:space="preserve">11.1.10.3 apresentar amostra falsificada ou deteriorada; </w:t>
      </w:r>
    </w:p>
    <w:p w14:paraId="6BBF1D69">
      <w:pPr>
        <w:spacing w:line="288" w:lineRule="auto"/>
        <w:contextualSpacing/>
        <w:jc w:val="both"/>
        <w:rPr>
          <w:sz w:val="24"/>
          <w:szCs w:val="24"/>
        </w:rPr>
      </w:pPr>
    </w:p>
    <w:p w14:paraId="1DD8449A">
      <w:pPr>
        <w:spacing w:line="288" w:lineRule="auto"/>
        <w:contextualSpacing/>
        <w:jc w:val="both"/>
        <w:rPr>
          <w:sz w:val="24"/>
          <w:szCs w:val="24"/>
        </w:rPr>
      </w:pPr>
      <w:r>
        <w:rPr>
          <w:sz w:val="24"/>
          <w:szCs w:val="24"/>
        </w:rPr>
        <w:t xml:space="preserve">11.1.10.4 apresentar declaração falsa quanto às condições de participação ou quanto ao enquadramento como ME/EPP; </w:t>
      </w:r>
    </w:p>
    <w:p w14:paraId="0CCC7A60">
      <w:pPr>
        <w:spacing w:line="288" w:lineRule="auto"/>
        <w:contextualSpacing/>
        <w:jc w:val="both"/>
        <w:rPr>
          <w:color w:val="000000"/>
          <w:sz w:val="24"/>
          <w:szCs w:val="24"/>
        </w:rPr>
      </w:pPr>
    </w:p>
    <w:p w14:paraId="1B7F71B8">
      <w:pPr>
        <w:spacing w:line="288" w:lineRule="auto"/>
        <w:contextualSpacing/>
        <w:jc w:val="both"/>
        <w:rPr>
          <w:color w:val="000000"/>
          <w:sz w:val="24"/>
          <w:szCs w:val="24"/>
        </w:rPr>
      </w:pPr>
      <w:r>
        <w:rPr>
          <w:color w:val="000000"/>
          <w:sz w:val="24"/>
          <w:szCs w:val="24"/>
        </w:rPr>
        <w:t>11.1.11 praticar atos ilícitos com vistas a frustrar os objetivos do certame;</w:t>
      </w:r>
    </w:p>
    <w:p w14:paraId="033A6635">
      <w:pPr>
        <w:spacing w:line="288" w:lineRule="auto"/>
        <w:contextualSpacing/>
        <w:jc w:val="both"/>
        <w:rPr>
          <w:color w:val="000000"/>
          <w:sz w:val="24"/>
          <w:szCs w:val="24"/>
        </w:rPr>
      </w:pPr>
    </w:p>
    <w:p w14:paraId="726FA1DE">
      <w:pPr>
        <w:spacing w:line="288" w:lineRule="auto"/>
        <w:contextualSpacing/>
        <w:jc w:val="both"/>
        <w:rPr>
          <w:rStyle w:val="16"/>
          <w:rFonts w:eastAsiaTheme="minorHAnsi"/>
          <w:color w:val="000000"/>
          <w:sz w:val="24"/>
          <w:szCs w:val="24"/>
        </w:rPr>
      </w:pPr>
      <w:r>
        <w:rPr>
          <w:color w:val="000000"/>
          <w:sz w:val="24"/>
          <w:szCs w:val="24"/>
        </w:rPr>
        <w:t>11.1.12 praticar ato lesivo previsto no </w:t>
      </w:r>
      <w:r>
        <w:fldChar w:fldCharType="begin"/>
      </w:r>
      <w:r>
        <w:instrText xml:space="preserve"> HYPERLINK "http://www.planalto.gov.br/ccivil_03/_Ato2011-2014/2013/Lei/L12846.htm" \l "art5" </w:instrText>
      </w:r>
      <w:r>
        <w:fldChar w:fldCharType="separate"/>
      </w:r>
      <w:r>
        <w:rPr>
          <w:rStyle w:val="16"/>
          <w:rFonts w:eastAsiaTheme="minorHAnsi"/>
          <w:color w:val="000000"/>
          <w:sz w:val="24"/>
          <w:szCs w:val="24"/>
        </w:rPr>
        <w:t>art. 5º da Lei nº 12.846, de 1º de agosto de 2013.</w:t>
      </w:r>
      <w:r>
        <w:rPr>
          <w:rStyle w:val="16"/>
          <w:rFonts w:eastAsiaTheme="minorHAnsi"/>
          <w:color w:val="000000"/>
          <w:sz w:val="24"/>
          <w:szCs w:val="24"/>
        </w:rPr>
        <w:fldChar w:fldCharType="end"/>
      </w:r>
    </w:p>
    <w:p w14:paraId="3FA1BEB5">
      <w:pPr>
        <w:spacing w:line="288" w:lineRule="auto"/>
        <w:contextualSpacing/>
        <w:jc w:val="both"/>
        <w:rPr>
          <w:sz w:val="24"/>
          <w:szCs w:val="24"/>
        </w:rPr>
      </w:pPr>
    </w:p>
    <w:p w14:paraId="3B1DF64D">
      <w:pPr>
        <w:spacing w:line="288" w:lineRule="auto"/>
        <w:contextualSpacing/>
        <w:jc w:val="both"/>
        <w:rPr>
          <w:sz w:val="24"/>
          <w:szCs w:val="24"/>
        </w:rPr>
      </w:pPr>
      <w:r>
        <w:rPr>
          <w:sz w:val="24"/>
          <w:szCs w:val="24"/>
        </w:rPr>
        <w:t xml:space="preserve">11.2 O </w:t>
      </w:r>
      <w:r>
        <w:rPr>
          <w:b/>
          <w:bCs/>
          <w:color w:val="000000"/>
          <w:sz w:val="24"/>
          <w:szCs w:val="24"/>
        </w:rPr>
        <w:t>CONTRATADO</w:t>
      </w:r>
      <w:r>
        <w:rPr>
          <w:sz w:val="24"/>
          <w:szCs w:val="24"/>
        </w:rPr>
        <w:t xml:space="preserve"> que cometer qualquer das condutas discriminadas nos subitens anteriores ficará sujeito, sem prejuízo da responsabilidade civil e criminal, às seguintes sanções:</w:t>
      </w:r>
    </w:p>
    <w:p w14:paraId="077ECBEE">
      <w:pPr>
        <w:spacing w:line="288" w:lineRule="auto"/>
        <w:contextualSpacing/>
        <w:jc w:val="both"/>
        <w:rPr>
          <w:sz w:val="24"/>
          <w:szCs w:val="24"/>
        </w:rPr>
      </w:pPr>
    </w:p>
    <w:p w14:paraId="266228C7">
      <w:pPr>
        <w:spacing w:line="288" w:lineRule="auto"/>
        <w:contextualSpacing/>
        <w:jc w:val="both"/>
        <w:rPr>
          <w:sz w:val="24"/>
          <w:szCs w:val="24"/>
        </w:rPr>
      </w:pPr>
      <w:r>
        <w:rPr>
          <w:sz w:val="24"/>
          <w:szCs w:val="24"/>
        </w:rPr>
        <w:t>11.2.1 Advertência, prevista no art. 156, I, § 2º, da Lei nº 14.133/2021, pela infração descrita no item 11.1.1, de menor potencial ofensivo, quando não se justificar a imposição de penalidade mais grave.</w:t>
      </w:r>
    </w:p>
    <w:p w14:paraId="1EC3206E">
      <w:pPr>
        <w:spacing w:line="288" w:lineRule="auto"/>
        <w:contextualSpacing/>
        <w:jc w:val="both"/>
        <w:rPr>
          <w:sz w:val="24"/>
          <w:szCs w:val="24"/>
        </w:rPr>
      </w:pPr>
    </w:p>
    <w:p w14:paraId="3EBFD009">
      <w:pPr>
        <w:spacing w:line="288" w:lineRule="auto"/>
        <w:contextualSpacing/>
        <w:jc w:val="both"/>
        <w:rPr>
          <w:sz w:val="24"/>
          <w:szCs w:val="24"/>
        </w:rPr>
      </w:pPr>
      <w:r>
        <w:rPr>
          <w:sz w:val="24"/>
          <w:szCs w:val="24"/>
        </w:rPr>
        <w:t xml:space="preserve">11.2.2 Multa administrativa, prevista no art. 156, II, § 3º, da Lei nº 14.133/2021, pela infração dos subitens 11.1.1 a 11.1.12, que não </w:t>
      </w:r>
      <w:r>
        <w:rPr>
          <w:color w:val="000000"/>
          <w:sz w:val="24"/>
          <w:szCs w:val="24"/>
        </w:rPr>
        <w:t>poderá ser inferior a 0,5% (cinco décimos por cento) nem superior a 30% (trinta por cento) do valor do Contrato</w:t>
      </w:r>
      <w:r>
        <w:rPr>
          <w:sz w:val="24"/>
          <w:szCs w:val="24"/>
        </w:rPr>
        <w:t>, devendo ser observados os seguintes parâmetros:</w:t>
      </w:r>
    </w:p>
    <w:p w14:paraId="5F9CCC53">
      <w:pPr>
        <w:spacing w:line="288" w:lineRule="auto"/>
        <w:contextualSpacing/>
        <w:jc w:val="both"/>
        <w:rPr>
          <w:color w:val="000000" w:themeColor="text1"/>
          <w:sz w:val="24"/>
          <w:szCs w:val="24"/>
          <w14:textFill>
            <w14:solidFill>
              <w14:schemeClr w14:val="tx1"/>
            </w14:solidFill>
          </w14:textFill>
        </w:rPr>
      </w:pPr>
      <w:r>
        <w:rPr>
          <w:sz w:val="24"/>
          <w:szCs w:val="24"/>
        </w:rPr>
        <w:t xml:space="preserve">a) multa de 0,5% a 1,5%, nos casos da infração prevista </w:t>
      </w:r>
      <w:r>
        <w:rPr>
          <w:color w:val="000000" w:themeColor="text1"/>
          <w:sz w:val="24"/>
          <w:szCs w:val="24"/>
          <w14:textFill>
            <w14:solidFill>
              <w14:schemeClr w14:val="tx1"/>
            </w14:solidFill>
          </w14:textFill>
        </w:rPr>
        <w:t xml:space="preserve">no subitem 11.1.1, incidente sobre o valor anual do Contrato; </w:t>
      </w:r>
    </w:p>
    <w:p w14:paraId="1D576AF0">
      <w:pPr>
        <w:spacing w:line="288" w:lineRule="auto"/>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b) multa de 0,5% a 15%, nos casos das infrações previstas nos subitens 11.1.2 a 11.1.7, incidente sobre o valor anual do Contrato;</w:t>
      </w:r>
    </w:p>
    <w:p w14:paraId="3DAE4A69">
      <w:pPr>
        <w:spacing w:line="288" w:lineRule="auto"/>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c) multa de 5% a 30%, nos casos das infrações previstas nos subitens 11.1.8 a 11.1.12, incidente sobre o valor anual do Contrato;</w:t>
      </w:r>
    </w:p>
    <w:p w14:paraId="62697416">
      <w:pPr>
        <w:spacing w:line="288" w:lineRule="auto"/>
        <w:contextualSpacing/>
        <w:jc w:val="both"/>
        <w:rPr>
          <w:color w:val="000000" w:themeColor="text1"/>
          <w:sz w:val="24"/>
          <w:szCs w:val="24"/>
          <w14:textFill>
            <w14:solidFill>
              <w14:schemeClr w14:val="tx1"/>
            </w14:solidFill>
          </w14:textFill>
        </w:rPr>
      </w:pPr>
    </w:p>
    <w:p w14:paraId="029756F3">
      <w:pPr>
        <w:spacing w:line="288" w:lineRule="auto"/>
        <w:contextualSpacing/>
        <w:jc w:val="both"/>
        <w:rPr>
          <w:sz w:val="24"/>
          <w:szCs w:val="24"/>
        </w:rPr>
      </w:pPr>
      <w:r>
        <w:rPr>
          <w:sz w:val="24"/>
          <w:szCs w:val="24"/>
        </w:rPr>
        <w:t>11.2.2.1 Na hipótese de a infração ser cometida antes da celebração do contrato, a base de cálculo da multa do item 11.2.2 será o valor anual estimado da contratação.</w:t>
      </w:r>
    </w:p>
    <w:p w14:paraId="02EF4B6C">
      <w:pPr>
        <w:spacing w:line="288" w:lineRule="auto"/>
        <w:contextualSpacing/>
        <w:jc w:val="both"/>
        <w:rPr>
          <w:b/>
          <w:bCs/>
          <w:color w:val="FF0000"/>
          <w:sz w:val="24"/>
          <w:szCs w:val="24"/>
        </w:rPr>
      </w:pPr>
    </w:p>
    <w:p w14:paraId="312D28FB">
      <w:pPr>
        <w:spacing w:line="288" w:lineRule="auto"/>
        <w:contextualSpacing/>
        <w:jc w:val="both"/>
        <w:rPr>
          <w:sz w:val="24"/>
          <w:szCs w:val="24"/>
        </w:rPr>
      </w:pPr>
      <w:r>
        <w:rPr>
          <w:sz w:val="24"/>
          <w:szCs w:val="24"/>
        </w:rPr>
        <w:t>11.2.2.2    Em caso de reincidência, o valor total das multas administrativas aplicadas não poderá exceder o limite de 30% (trinta por cento) sobre o valor total do Contrato.</w:t>
      </w:r>
    </w:p>
    <w:p w14:paraId="2C89FF3F">
      <w:pPr>
        <w:spacing w:line="288" w:lineRule="auto"/>
        <w:contextualSpacing/>
        <w:jc w:val="both"/>
        <w:rPr>
          <w:sz w:val="24"/>
          <w:szCs w:val="24"/>
        </w:rPr>
      </w:pPr>
    </w:p>
    <w:p w14:paraId="4511CC75">
      <w:pPr>
        <w:spacing w:line="288" w:lineRule="auto"/>
        <w:contextualSpacing/>
        <w:jc w:val="both"/>
        <w:rPr>
          <w:sz w:val="24"/>
          <w:szCs w:val="24"/>
        </w:rPr>
      </w:pPr>
      <w:r>
        <w:rPr>
          <w:sz w:val="24"/>
          <w:szCs w:val="24"/>
        </w:rPr>
        <w:t xml:space="preserve">11.2.2.3 Se a multa aplicada e as indenizações cabíveis forem superiores ao valor de pagamento eventualmente devido pela Administração ao </w:t>
      </w:r>
      <w:r>
        <w:rPr>
          <w:b/>
          <w:bCs/>
          <w:color w:val="000000"/>
          <w:sz w:val="24"/>
          <w:szCs w:val="24"/>
        </w:rPr>
        <w:t>CONTRATADO</w:t>
      </w:r>
      <w:r>
        <w:rPr>
          <w:sz w:val="24"/>
          <w:szCs w:val="24"/>
        </w:rPr>
        <w:t>, além da perda desse valor, a diferença será descontada da garantia prestada ou será cobrada judicialmente, na forma do art. 156, § 8º, da Lei nº 14.133/2021, e conforme o procedimento previsto no item 11.13.</w:t>
      </w:r>
    </w:p>
    <w:p w14:paraId="56DD83A9">
      <w:pPr>
        <w:spacing w:line="288" w:lineRule="auto"/>
        <w:contextualSpacing/>
        <w:jc w:val="both"/>
        <w:rPr>
          <w:sz w:val="24"/>
          <w:szCs w:val="24"/>
        </w:rPr>
      </w:pPr>
    </w:p>
    <w:p w14:paraId="0B10DE76">
      <w:pPr>
        <w:spacing w:line="288" w:lineRule="auto"/>
        <w:contextualSpacing/>
        <w:jc w:val="both"/>
        <w:rPr>
          <w:sz w:val="24"/>
          <w:szCs w:val="24"/>
        </w:rPr>
      </w:pPr>
      <w:r>
        <w:rPr>
          <w:sz w:val="24"/>
          <w:szCs w:val="24"/>
        </w:rPr>
        <w:t>11.2.2.4 A penalidade de multa pode ser aplicada cumulativamente com as demais sanções, na forma do art. 156, § 7º, da Lei nº 14.133/2021.</w:t>
      </w:r>
    </w:p>
    <w:p w14:paraId="21331635">
      <w:pPr>
        <w:spacing w:line="288" w:lineRule="auto"/>
        <w:contextualSpacing/>
        <w:jc w:val="both"/>
        <w:rPr>
          <w:color w:val="000000"/>
          <w:sz w:val="24"/>
          <w:szCs w:val="24"/>
        </w:rPr>
      </w:pPr>
    </w:p>
    <w:p w14:paraId="3FE7B1B7">
      <w:pPr>
        <w:spacing w:line="288" w:lineRule="auto"/>
        <w:contextualSpacing/>
        <w:jc w:val="both"/>
        <w:rPr>
          <w:rFonts w:eastAsia="Arial"/>
          <w:color w:val="000000"/>
          <w:sz w:val="24"/>
          <w:szCs w:val="24"/>
        </w:rPr>
      </w:pPr>
      <w:r>
        <w:rPr>
          <w:color w:val="000000"/>
          <w:sz w:val="24"/>
          <w:szCs w:val="24"/>
        </w:rPr>
        <w:t xml:space="preserve">11.2.3 Impedimento de licitar e contratar, prevista no </w:t>
      </w:r>
      <w:r>
        <w:rPr>
          <w:sz w:val="24"/>
          <w:szCs w:val="24"/>
        </w:rPr>
        <w:t xml:space="preserve">art. 156, III, § 4º, da Lei nº 14.133/2021, </w:t>
      </w:r>
      <w:r>
        <w:rPr>
          <w:color w:val="000000"/>
          <w:sz w:val="24"/>
          <w:szCs w:val="24"/>
        </w:rPr>
        <w:t>nos casos relacionados os subitens 11.1.2 a 11.1.7, quando não se justificar a imposição de penalidade mais grave, e impedirá o responsável de licitar ou contratar no âmbito da Administração Pública direta e indireta do Município, pelo prazo máximo de 3 (três) anos;</w:t>
      </w:r>
    </w:p>
    <w:p w14:paraId="369997BE">
      <w:pPr>
        <w:spacing w:line="288" w:lineRule="auto"/>
        <w:contextualSpacing/>
        <w:jc w:val="both"/>
        <w:rPr>
          <w:color w:val="000000"/>
          <w:sz w:val="24"/>
          <w:szCs w:val="24"/>
        </w:rPr>
      </w:pPr>
    </w:p>
    <w:p w14:paraId="3D5F1AD5">
      <w:pPr>
        <w:spacing w:line="288" w:lineRule="auto"/>
        <w:contextualSpacing/>
        <w:jc w:val="both"/>
        <w:rPr>
          <w:sz w:val="24"/>
          <w:szCs w:val="24"/>
        </w:rPr>
      </w:pPr>
      <w:r>
        <w:rPr>
          <w:color w:val="000000"/>
          <w:sz w:val="24"/>
          <w:szCs w:val="24"/>
        </w:rPr>
        <w:t>11.2.4 Declaração de inidoneidade para licitar ou contratar, prevista no a</w:t>
      </w:r>
      <w:r>
        <w:rPr>
          <w:rStyle w:val="118"/>
          <w:rFonts w:ascii="Times New Roman" w:hAnsi="Times New Roman" w:cs="Times New Roman"/>
          <w:sz w:val="24"/>
          <w:szCs w:val="24"/>
        </w:rPr>
        <w:t xml:space="preserve">rt. 156, IV, § 5º, da Lei nº 14.133/2021, </w:t>
      </w:r>
      <w:r>
        <w:rPr>
          <w:color w:val="000000"/>
          <w:sz w:val="24"/>
          <w:szCs w:val="24"/>
        </w:rPr>
        <w:t>nos casos relacionados nos subitens 11.1.8 a 11.1.12, bem como nos demais casos que justifiquem a imposição da penalidade mais grave, que impedirá o responsável de licitar ou contratar no âmbito da Administração Pública direta e indireta de todos os entes federativos, pelo prazo mínimo de 3 (três) anos e máximo de 6 (seis) anos</w:t>
      </w:r>
      <w:r>
        <w:rPr>
          <w:sz w:val="24"/>
          <w:szCs w:val="24"/>
        </w:rPr>
        <w:t>.</w:t>
      </w:r>
    </w:p>
    <w:p w14:paraId="049529CF">
      <w:pPr>
        <w:spacing w:line="288" w:lineRule="auto"/>
        <w:contextualSpacing/>
        <w:jc w:val="both"/>
        <w:rPr>
          <w:sz w:val="24"/>
          <w:szCs w:val="24"/>
        </w:rPr>
      </w:pPr>
    </w:p>
    <w:p w14:paraId="6971A82A">
      <w:pPr>
        <w:spacing w:line="288" w:lineRule="auto"/>
        <w:contextualSpacing/>
        <w:jc w:val="both"/>
        <w:rPr>
          <w:sz w:val="24"/>
          <w:szCs w:val="24"/>
        </w:rPr>
      </w:pPr>
      <w:r>
        <w:rPr>
          <w:sz w:val="24"/>
          <w:szCs w:val="24"/>
        </w:rPr>
        <w:t xml:space="preserve">11.3 Sem prejuízo da multa administrativa prevista no art. 156, II, § 3º, da Lei nº 14.133/2021, o atraso injustificado no cumprimento das obrigações contratuais sujeitará o </w:t>
      </w:r>
      <w:r>
        <w:rPr>
          <w:b/>
          <w:bCs/>
          <w:color w:val="000000"/>
          <w:sz w:val="24"/>
          <w:szCs w:val="24"/>
        </w:rPr>
        <w:t>CONTRATADO</w:t>
      </w:r>
      <w:r>
        <w:rPr>
          <w:sz w:val="24"/>
          <w:szCs w:val="24"/>
        </w:rPr>
        <w:t>, independente de notificação, na forma do art. 408 do Código Civil, à multa de mora no percentual de 1% (um por cento) por dia útil que exceder o prazo estipulado, a incidir sobre o valor da nota de empenho ou do saldo não atendido, respeitado o limite de 30% (trinta por cento) do valor do Contrato.</w:t>
      </w:r>
    </w:p>
    <w:p w14:paraId="484D356A">
      <w:pPr>
        <w:spacing w:line="288" w:lineRule="auto"/>
        <w:contextualSpacing/>
        <w:jc w:val="both"/>
        <w:rPr>
          <w:sz w:val="24"/>
          <w:szCs w:val="24"/>
        </w:rPr>
      </w:pPr>
    </w:p>
    <w:p w14:paraId="5506FB66">
      <w:pPr>
        <w:spacing w:line="288" w:lineRule="auto"/>
        <w:contextualSpacing/>
        <w:jc w:val="both"/>
        <w:rPr>
          <w:sz w:val="24"/>
          <w:szCs w:val="24"/>
        </w:rPr>
      </w:pPr>
      <w:r>
        <w:rPr>
          <w:sz w:val="24"/>
          <w:szCs w:val="24"/>
        </w:rPr>
        <w:t>11.3.1 Em caso de atraso injustificado para apresentação, suplementação ou reposição da garantia, a multa de mora será de 0,07% (sete centésimos por cento) sobre o valor total do Contrato por dia útil que exceder o prazo estipulado até o máximo de 2 % (dois por cento).</w:t>
      </w:r>
    </w:p>
    <w:p w14:paraId="07E7545F">
      <w:pPr>
        <w:spacing w:line="288" w:lineRule="auto"/>
        <w:contextualSpacing/>
        <w:jc w:val="both"/>
        <w:rPr>
          <w:sz w:val="24"/>
          <w:szCs w:val="24"/>
        </w:rPr>
      </w:pPr>
    </w:p>
    <w:p w14:paraId="509C6B98">
      <w:pPr>
        <w:spacing w:line="288" w:lineRule="auto"/>
        <w:contextualSpacing/>
        <w:jc w:val="both"/>
        <w:rPr>
          <w:sz w:val="24"/>
          <w:szCs w:val="24"/>
        </w:rPr>
      </w:pPr>
      <w:r>
        <w:rPr>
          <w:sz w:val="24"/>
          <w:szCs w:val="24"/>
        </w:rPr>
        <w:t>11.3.2 O atraso superior a 25 (vinte e cinco) dias no cumprimento da obrigação prevista no item 11.3.1 autoriza a Administração a promover a rescisão contratual por descumprimento ou cumprimento irregular de suas cláusulas.</w:t>
      </w:r>
    </w:p>
    <w:p w14:paraId="1BD89112">
      <w:pPr>
        <w:spacing w:line="288" w:lineRule="auto"/>
        <w:contextualSpacing/>
        <w:jc w:val="both"/>
        <w:rPr>
          <w:sz w:val="24"/>
          <w:szCs w:val="24"/>
        </w:rPr>
      </w:pPr>
    </w:p>
    <w:p w14:paraId="5E4213C3">
      <w:pPr>
        <w:spacing w:line="288" w:lineRule="auto"/>
        <w:contextualSpacing/>
        <w:jc w:val="both"/>
        <w:rPr>
          <w:sz w:val="24"/>
          <w:szCs w:val="24"/>
        </w:rPr>
      </w:pPr>
    </w:p>
    <w:p w14:paraId="27FD10D5">
      <w:pPr>
        <w:spacing w:line="288" w:lineRule="auto"/>
        <w:contextualSpacing/>
        <w:jc w:val="both"/>
        <w:rPr>
          <w:sz w:val="24"/>
          <w:szCs w:val="24"/>
        </w:rPr>
      </w:pPr>
      <w:r>
        <w:rPr>
          <w:sz w:val="24"/>
          <w:szCs w:val="24"/>
        </w:rPr>
        <w:t>11.3.3 A aplicação de multa de mora não impedirá que a Administração a converta em compensatória e promova a extinção unilateral do Contrato com a aplicação cumulada de outras sanções previstas neste Contrato.</w:t>
      </w:r>
    </w:p>
    <w:p w14:paraId="327B91EC">
      <w:pPr>
        <w:spacing w:line="288" w:lineRule="auto"/>
        <w:contextualSpacing/>
        <w:jc w:val="both"/>
        <w:rPr>
          <w:sz w:val="24"/>
          <w:szCs w:val="24"/>
        </w:rPr>
      </w:pPr>
    </w:p>
    <w:p w14:paraId="4999DCB5">
      <w:pPr>
        <w:spacing w:line="288" w:lineRule="auto"/>
        <w:contextualSpacing/>
        <w:jc w:val="both"/>
        <w:rPr>
          <w:sz w:val="24"/>
          <w:szCs w:val="24"/>
        </w:rPr>
      </w:pPr>
      <w:r>
        <w:rPr>
          <w:sz w:val="24"/>
          <w:szCs w:val="24"/>
        </w:rPr>
        <w:t>11.4 No caso de inexecução total ou parcial do objeto, que acarrete a rescisão do Contrato, será automaticamente devida multa compensatória no valor de 5</w:t>
      </w:r>
      <w:r>
        <w:rPr>
          <w:color w:val="FF0000"/>
          <w:sz w:val="24"/>
          <w:szCs w:val="24"/>
        </w:rPr>
        <w:t xml:space="preserve"> </w:t>
      </w:r>
      <w:r>
        <w:rPr>
          <w:sz w:val="24"/>
          <w:szCs w:val="24"/>
        </w:rPr>
        <w:t>% (cinco por cento)  do valor do Contrato.</w:t>
      </w:r>
    </w:p>
    <w:p w14:paraId="2EB4DAA8">
      <w:pPr>
        <w:spacing w:line="288" w:lineRule="auto"/>
        <w:contextualSpacing/>
        <w:jc w:val="both"/>
        <w:rPr>
          <w:b/>
          <w:bCs/>
          <w:color w:val="FF0000"/>
          <w:sz w:val="24"/>
          <w:szCs w:val="24"/>
        </w:rPr>
      </w:pPr>
    </w:p>
    <w:p w14:paraId="6B351CC5">
      <w:pPr>
        <w:spacing w:line="288" w:lineRule="auto"/>
        <w:contextualSpacing/>
        <w:jc w:val="both"/>
        <w:rPr>
          <w:sz w:val="24"/>
          <w:szCs w:val="24"/>
        </w:rPr>
      </w:pPr>
      <w:r>
        <w:rPr>
          <w:sz w:val="24"/>
          <w:szCs w:val="24"/>
        </w:rPr>
        <w:t>11.4.1 A multa compensatória, isoladamente aplicada ou quando somada ao valor da multa moratória convertida, não poderá exceder o limite previsto no art. 412 do Código Civil, ou seja, o valor da obrigação principal.</w:t>
      </w:r>
    </w:p>
    <w:p w14:paraId="6F9DA52E">
      <w:pPr>
        <w:spacing w:line="288" w:lineRule="auto"/>
        <w:contextualSpacing/>
        <w:jc w:val="both"/>
        <w:rPr>
          <w:sz w:val="24"/>
          <w:szCs w:val="24"/>
        </w:rPr>
      </w:pPr>
    </w:p>
    <w:p w14:paraId="0DD6BA0B">
      <w:pPr>
        <w:spacing w:line="288" w:lineRule="auto"/>
        <w:contextualSpacing/>
        <w:jc w:val="both"/>
        <w:rPr>
          <w:sz w:val="24"/>
          <w:szCs w:val="24"/>
        </w:rPr>
      </w:pPr>
      <w:r>
        <w:rPr>
          <w:sz w:val="24"/>
          <w:szCs w:val="24"/>
        </w:rPr>
        <w:t xml:space="preserve">11.5 Na aplicação das sanções serão considerados os seguintes requisitos, previstos no art. </w:t>
      </w:r>
      <w:r>
        <w:rPr>
          <w:rStyle w:val="118"/>
          <w:rFonts w:ascii="Times New Roman" w:hAnsi="Times New Roman" w:cs="Times New Roman"/>
          <w:sz w:val="24"/>
          <w:szCs w:val="24"/>
        </w:rPr>
        <w:t>156, § 1º, incisos I a V, da Lei nº 14.133/2021</w:t>
      </w:r>
      <w:r>
        <w:rPr>
          <w:sz w:val="24"/>
          <w:szCs w:val="24"/>
        </w:rPr>
        <w:t>:</w:t>
      </w:r>
    </w:p>
    <w:p w14:paraId="01ABF3DE">
      <w:pPr>
        <w:spacing w:line="288" w:lineRule="auto"/>
        <w:contextualSpacing/>
        <w:jc w:val="both"/>
        <w:rPr>
          <w:sz w:val="24"/>
          <w:szCs w:val="24"/>
        </w:rPr>
      </w:pPr>
    </w:p>
    <w:p w14:paraId="3CB74425">
      <w:pPr>
        <w:spacing w:line="288" w:lineRule="auto"/>
        <w:contextualSpacing/>
        <w:jc w:val="both"/>
        <w:rPr>
          <w:sz w:val="24"/>
          <w:szCs w:val="24"/>
        </w:rPr>
      </w:pPr>
      <w:r>
        <w:rPr>
          <w:sz w:val="24"/>
          <w:szCs w:val="24"/>
        </w:rPr>
        <w:t>11.5.1 a natureza e a gravidade da infração cometida;</w:t>
      </w:r>
    </w:p>
    <w:p w14:paraId="5DBE17A2">
      <w:pPr>
        <w:spacing w:line="288" w:lineRule="auto"/>
        <w:contextualSpacing/>
        <w:jc w:val="both"/>
        <w:rPr>
          <w:sz w:val="24"/>
          <w:szCs w:val="24"/>
        </w:rPr>
      </w:pPr>
    </w:p>
    <w:p w14:paraId="609D8AAD">
      <w:pPr>
        <w:spacing w:line="288" w:lineRule="auto"/>
        <w:contextualSpacing/>
        <w:jc w:val="both"/>
        <w:rPr>
          <w:sz w:val="24"/>
          <w:szCs w:val="24"/>
        </w:rPr>
      </w:pPr>
      <w:r>
        <w:rPr>
          <w:sz w:val="24"/>
          <w:szCs w:val="24"/>
        </w:rPr>
        <w:t>11.5.2 as peculiaridades do caso concreto;</w:t>
      </w:r>
    </w:p>
    <w:p w14:paraId="16DDED1C">
      <w:pPr>
        <w:spacing w:line="288" w:lineRule="auto"/>
        <w:contextualSpacing/>
        <w:jc w:val="both"/>
        <w:rPr>
          <w:sz w:val="24"/>
          <w:szCs w:val="24"/>
        </w:rPr>
      </w:pPr>
    </w:p>
    <w:p w14:paraId="5ADE11FA">
      <w:pPr>
        <w:spacing w:line="288" w:lineRule="auto"/>
        <w:contextualSpacing/>
        <w:jc w:val="both"/>
        <w:rPr>
          <w:sz w:val="24"/>
          <w:szCs w:val="24"/>
        </w:rPr>
      </w:pPr>
      <w:r>
        <w:rPr>
          <w:sz w:val="24"/>
          <w:szCs w:val="24"/>
        </w:rPr>
        <w:t>11.5.3 as circunstâncias agravantes ou atenuantes;</w:t>
      </w:r>
    </w:p>
    <w:p w14:paraId="1464969D">
      <w:pPr>
        <w:spacing w:line="288" w:lineRule="auto"/>
        <w:contextualSpacing/>
        <w:jc w:val="both"/>
        <w:rPr>
          <w:sz w:val="24"/>
          <w:szCs w:val="24"/>
        </w:rPr>
      </w:pPr>
    </w:p>
    <w:p w14:paraId="71F2C300">
      <w:pPr>
        <w:spacing w:line="288" w:lineRule="auto"/>
        <w:contextualSpacing/>
        <w:jc w:val="both"/>
        <w:rPr>
          <w:sz w:val="24"/>
          <w:szCs w:val="24"/>
        </w:rPr>
      </w:pPr>
      <w:r>
        <w:rPr>
          <w:sz w:val="24"/>
          <w:szCs w:val="24"/>
        </w:rPr>
        <w:t>11.5.4 os danos que dela provierem para a Administração Pública;</w:t>
      </w:r>
    </w:p>
    <w:p w14:paraId="092FB929">
      <w:pPr>
        <w:spacing w:line="288" w:lineRule="auto"/>
        <w:contextualSpacing/>
        <w:jc w:val="both"/>
        <w:rPr>
          <w:sz w:val="24"/>
          <w:szCs w:val="24"/>
        </w:rPr>
      </w:pPr>
    </w:p>
    <w:p w14:paraId="06DF0B93">
      <w:pPr>
        <w:spacing w:line="288" w:lineRule="auto"/>
        <w:contextualSpacing/>
        <w:jc w:val="both"/>
        <w:rPr>
          <w:sz w:val="24"/>
          <w:szCs w:val="24"/>
        </w:rPr>
      </w:pPr>
      <w:r>
        <w:rPr>
          <w:sz w:val="24"/>
          <w:szCs w:val="24"/>
        </w:rPr>
        <w:t>11.5.5 a implantação ou o aperfeiçoamento de programa de integridade, conforme normas e orientações dos órgãos de controle.</w:t>
      </w:r>
    </w:p>
    <w:p w14:paraId="35CBCA4A">
      <w:pPr>
        <w:spacing w:line="288" w:lineRule="auto"/>
        <w:contextualSpacing/>
        <w:jc w:val="both"/>
        <w:rPr>
          <w:sz w:val="24"/>
          <w:szCs w:val="24"/>
        </w:rPr>
      </w:pPr>
    </w:p>
    <w:p w14:paraId="661C4216">
      <w:pPr>
        <w:spacing w:line="288" w:lineRule="auto"/>
        <w:contextualSpacing/>
        <w:jc w:val="both"/>
        <w:rPr>
          <w:sz w:val="24"/>
          <w:szCs w:val="24"/>
        </w:rPr>
      </w:pPr>
      <w:r>
        <w:rPr>
          <w:sz w:val="24"/>
          <w:szCs w:val="24"/>
        </w:rPr>
        <w:t xml:space="preserve">11.6 A imposição das penalidades é de competência exclusiva do órgão ou entidade contratante, sendo competentes para sua aplicação: </w:t>
      </w:r>
    </w:p>
    <w:p w14:paraId="65203196">
      <w:pPr>
        <w:spacing w:line="288" w:lineRule="auto"/>
        <w:contextualSpacing/>
        <w:jc w:val="both"/>
        <w:rPr>
          <w:sz w:val="24"/>
          <w:szCs w:val="24"/>
        </w:rPr>
      </w:pPr>
      <w:r>
        <w:rPr>
          <w:sz w:val="24"/>
          <w:szCs w:val="24"/>
        </w:rPr>
        <w:t>a) as sanções previstas nos itens 11.2.1, 11.2.2 e 11.2.3 serão impostas pelo Ordenador de Despesa;</w:t>
      </w:r>
    </w:p>
    <w:p w14:paraId="1F1B4167">
      <w:pPr>
        <w:spacing w:line="288" w:lineRule="auto"/>
        <w:contextualSpacing/>
        <w:jc w:val="both"/>
        <w:rPr>
          <w:sz w:val="24"/>
          <w:szCs w:val="24"/>
        </w:rPr>
      </w:pPr>
      <w:r>
        <w:rPr>
          <w:sz w:val="24"/>
          <w:szCs w:val="24"/>
        </w:rPr>
        <w:t xml:space="preserve">b) a aplicação da sanção prevista no item 11.2.4, na forma do art. </w:t>
      </w:r>
      <w:r>
        <w:rPr>
          <w:rStyle w:val="118"/>
          <w:rFonts w:ascii="Times New Roman" w:hAnsi="Times New Roman" w:cs="Times New Roman"/>
          <w:sz w:val="24"/>
          <w:szCs w:val="24"/>
        </w:rPr>
        <w:t>156, § 6º, I, da Lei nº 14.133/2021,</w:t>
      </w:r>
      <w:r>
        <w:rPr>
          <w:sz w:val="24"/>
          <w:szCs w:val="24"/>
        </w:rPr>
        <w:t xml:space="preserve"> é de competência exclusiva:</w:t>
      </w:r>
    </w:p>
    <w:p w14:paraId="73A8D432">
      <w:pPr>
        <w:spacing w:line="288" w:lineRule="auto"/>
        <w:contextualSpacing/>
        <w:jc w:val="both"/>
        <w:rPr>
          <w:rStyle w:val="118"/>
          <w:rFonts w:ascii="Times New Roman" w:hAnsi="Times New Roman" w:cs="Times New Roman"/>
          <w:sz w:val="24"/>
          <w:szCs w:val="24"/>
        </w:rPr>
      </w:pPr>
      <w:r>
        <w:rPr>
          <w:sz w:val="24"/>
          <w:szCs w:val="24"/>
        </w:rPr>
        <w:t>b.1) em se tratando de contratação realizada pela Administração Pública direta, do Secretário de Município</w:t>
      </w:r>
      <w:r>
        <w:rPr>
          <w:rStyle w:val="118"/>
          <w:rFonts w:ascii="Times New Roman" w:hAnsi="Times New Roman" w:cs="Times New Roman"/>
          <w:sz w:val="24"/>
          <w:szCs w:val="24"/>
        </w:rPr>
        <w:t>;</w:t>
      </w:r>
    </w:p>
    <w:p w14:paraId="2EE182D1">
      <w:pPr>
        <w:spacing w:line="288" w:lineRule="auto"/>
        <w:contextualSpacing/>
        <w:jc w:val="both"/>
        <w:rPr>
          <w:sz w:val="24"/>
          <w:szCs w:val="24"/>
        </w:rPr>
      </w:pPr>
      <w:r>
        <w:rPr>
          <w:rStyle w:val="118"/>
          <w:rFonts w:ascii="Times New Roman" w:hAnsi="Times New Roman" w:cs="Times New Roman"/>
          <w:sz w:val="24"/>
          <w:szCs w:val="24"/>
        </w:rPr>
        <w:t>b.2) e</w:t>
      </w:r>
      <w:r>
        <w:rPr>
          <w:sz w:val="24"/>
          <w:szCs w:val="24"/>
        </w:rPr>
        <w:t>m se tratando de contratação realizada pela Administração Pública Indireta (fundação e autarquia), da autoridade máxima da entidade.</w:t>
      </w:r>
    </w:p>
    <w:p w14:paraId="1C64611F">
      <w:pPr>
        <w:spacing w:line="288" w:lineRule="auto"/>
        <w:contextualSpacing/>
        <w:jc w:val="both"/>
        <w:rPr>
          <w:sz w:val="24"/>
          <w:szCs w:val="24"/>
        </w:rPr>
      </w:pPr>
    </w:p>
    <w:p w14:paraId="51EEA9E4">
      <w:pPr>
        <w:spacing w:line="288" w:lineRule="auto"/>
        <w:contextualSpacing/>
        <w:jc w:val="both"/>
        <w:rPr>
          <w:sz w:val="24"/>
          <w:szCs w:val="24"/>
        </w:rPr>
      </w:pPr>
      <w:r>
        <w:rPr>
          <w:sz w:val="24"/>
          <w:szCs w:val="24"/>
        </w:rPr>
        <w:t xml:space="preserve">11.7 A aplicação de quaisquer das penalidades realizar-se-á em processo administrativo que assegurará o contraditório e a ampla defesa ao </w:t>
      </w:r>
      <w:r>
        <w:rPr>
          <w:b/>
          <w:bCs/>
          <w:color w:val="000000"/>
          <w:sz w:val="24"/>
          <w:szCs w:val="24"/>
        </w:rPr>
        <w:t>CONTRATADO</w:t>
      </w:r>
      <w:r>
        <w:rPr>
          <w:sz w:val="24"/>
          <w:szCs w:val="24"/>
        </w:rPr>
        <w:t xml:space="preserve">, na forma do art. </w:t>
      </w:r>
      <w:r>
        <w:rPr>
          <w:rStyle w:val="118"/>
          <w:rFonts w:ascii="Times New Roman" w:hAnsi="Times New Roman" w:cs="Times New Roman"/>
          <w:sz w:val="24"/>
          <w:szCs w:val="24"/>
        </w:rPr>
        <w:t>156, § 6º, I, da Lei nº 14.133/2021</w:t>
      </w:r>
      <w:r>
        <w:rPr>
          <w:sz w:val="24"/>
          <w:szCs w:val="24"/>
        </w:rPr>
        <w:t>, devendo ser observado o procedimento previsto na Lei nº 14.133/2021.</w:t>
      </w:r>
    </w:p>
    <w:p w14:paraId="4BF8828B">
      <w:pPr>
        <w:spacing w:line="288" w:lineRule="auto"/>
        <w:contextualSpacing/>
        <w:jc w:val="both"/>
        <w:rPr>
          <w:sz w:val="24"/>
          <w:szCs w:val="24"/>
        </w:rPr>
      </w:pPr>
    </w:p>
    <w:p w14:paraId="17B4EBDC">
      <w:pPr>
        <w:spacing w:line="288" w:lineRule="auto"/>
        <w:contextualSpacing/>
        <w:jc w:val="both"/>
        <w:rPr>
          <w:sz w:val="24"/>
          <w:szCs w:val="24"/>
        </w:rPr>
      </w:pPr>
      <w:r>
        <w:rPr>
          <w:sz w:val="24"/>
          <w:szCs w:val="24"/>
        </w:rPr>
        <w:t xml:space="preserve">11.7.1 A aplicação de sanção será antecedida de intimação do </w:t>
      </w:r>
      <w:r>
        <w:rPr>
          <w:b/>
          <w:bCs/>
          <w:color w:val="000000"/>
          <w:sz w:val="24"/>
          <w:szCs w:val="24"/>
        </w:rPr>
        <w:t>CONTRATADO</w:t>
      </w:r>
      <w:r>
        <w:rPr>
          <w:sz w:val="24"/>
          <w:szCs w:val="24"/>
        </w:rPr>
        <w:t>, que indicará a infração cometida, os fatos, os dispositivos do Contrato infringidos e os fundamentos legais pertinentes, a penalidade que se pretende imputar e o respectivo prazo e/ou valor, se for o caso, assim como o prazo e o local para a apresentação da defesa, com a possibilidade de produção de provas.</w:t>
      </w:r>
    </w:p>
    <w:p w14:paraId="12C916D7">
      <w:pPr>
        <w:spacing w:line="288" w:lineRule="auto"/>
        <w:contextualSpacing/>
        <w:jc w:val="both"/>
        <w:rPr>
          <w:sz w:val="24"/>
          <w:szCs w:val="24"/>
        </w:rPr>
      </w:pPr>
    </w:p>
    <w:p w14:paraId="477DE742">
      <w:pPr>
        <w:spacing w:line="288" w:lineRule="auto"/>
        <w:contextualSpacing/>
        <w:jc w:val="both"/>
        <w:rPr>
          <w:sz w:val="24"/>
          <w:szCs w:val="24"/>
        </w:rPr>
      </w:pPr>
      <w:r>
        <w:rPr>
          <w:sz w:val="24"/>
          <w:szCs w:val="24"/>
        </w:rPr>
        <w:t xml:space="preserve">11.7.2 A defesa prévia do </w:t>
      </w:r>
      <w:r>
        <w:rPr>
          <w:b/>
          <w:bCs/>
          <w:color w:val="000000"/>
          <w:sz w:val="24"/>
          <w:szCs w:val="24"/>
        </w:rPr>
        <w:t>CONTRATADO</w:t>
      </w:r>
      <w:r>
        <w:rPr>
          <w:sz w:val="24"/>
          <w:szCs w:val="24"/>
        </w:rPr>
        <w:t xml:space="preserve"> será exercida no prazo de:</w:t>
      </w:r>
    </w:p>
    <w:p w14:paraId="441DAECF">
      <w:pPr>
        <w:spacing w:line="288" w:lineRule="auto"/>
        <w:contextualSpacing/>
        <w:jc w:val="both"/>
        <w:rPr>
          <w:sz w:val="24"/>
          <w:szCs w:val="24"/>
        </w:rPr>
      </w:pPr>
      <w:r>
        <w:rPr>
          <w:sz w:val="24"/>
          <w:szCs w:val="24"/>
        </w:rPr>
        <w:t>a) 15 (quinze) dias úteis, no caso da aplicação das sanções previstas nos itens 11.2.1 e 11.2.2, contado da data da intimação;</w:t>
      </w:r>
    </w:p>
    <w:p w14:paraId="41C82140">
      <w:pPr>
        <w:spacing w:line="288" w:lineRule="auto"/>
        <w:contextualSpacing/>
        <w:jc w:val="both"/>
        <w:rPr>
          <w:color w:val="000000"/>
          <w:sz w:val="24"/>
          <w:szCs w:val="24"/>
        </w:rPr>
      </w:pPr>
      <w:r>
        <w:rPr>
          <w:sz w:val="24"/>
          <w:szCs w:val="24"/>
        </w:rPr>
        <w:t xml:space="preserve">b) 15 (quinze) dias úteis, no caso de aplicação das sanções previstas nos itens 11.2.3 e 11.2.4, </w:t>
      </w:r>
      <w:r>
        <w:rPr>
          <w:color w:val="000000"/>
          <w:sz w:val="24"/>
          <w:szCs w:val="24"/>
        </w:rPr>
        <w:t>contado da data da intimação, observado o procedimento estabelecido no art. 158 da Lei nº 14.133/2021.</w:t>
      </w:r>
    </w:p>
    <w:p w14:paraId="35B07D3A">
      <w:pPr>
        <w:pStyle w:val="24"/>
        <w:spacing w:line="288" w:lineRule="auto"/>
        <w:contextualSpacing/>
        <w:jc w:val="both"/>
      </w:pPr>
      <w:r>
        <w:t>11.7.3 Será emitida decisão conclusiva sobre a aplicação ou não da sanção, pela autoridade competente, devendo ser apresentada a devida motivação, com a demonstração dos fatos e dos respectivos fundamentos jurídicos.</w:t>
      </w:r>
    </w:p>
    <w:p w14:paraId="4EC0DFE7">
      <w:pPr>
        <w:spacing w:line="288" w:lineRule="auto"/>
        <w:contextualSpacing/>
        <w:jc w:val="both"/>
        <w:rPr>
          <w:sz w:val="24"/>
          <w:szCs w:val="24"/>
        </w:rPr>
      </w:pPr>
      <w:r>
        <w:rPr>
          <w:sz w:val="24"/>
          <w:szCs w:val="24"/>
        </w:rPr>
        <w:t>11.8 A aplicação das sanções previstas neste Contrato não exclui, em hipótese alguma:</w:t>
      </w:r>
    </w:p>
    <w:p w14:paraId="585A85D8">
      <w:pPr>
        <w:spacing w:line="288" w:lineRule="auto"/>
        <w:contextualSpacing/>
        <w:jc w:val="both"/>
        <w:rPr>
          <w:sz w:val="24"/>
          <w:szCs w:val="24"/>
        </w:rPr>
      </w:pPr>
      <w:r>
        <w:rPr>
          <w:sz w:val="24"/>
          <w:szCs w:val="24"/>
        </w:rPr>
        <w:t>a) a obrigação de reparação integral do dano causado à Administração Pública, na forma do art. 156, § 9º, da Lei nº 14.133/2021 e do art. 416, parágrafo único, do Código Civil; e</w:t>
      </w:r>
    </w:p>
    <w:p w14:paraId="23CDA303">
      <w:pPr>
        <w:spacing w:line="288" w:lineRule="auto"/>
        <w:contextualSpacing/>
        <w:jc w:val="both"/>
        <w:rPr>
          <w:rFonts w:eastAsia="Arial"/>
          <w:color w:val="000000"/>
          <w:sz w:val="24"/>
          <w:szCs w:val="24"/>
        </w:rPr>
      </w:pPr>
      <w:r>
        <w:rPr>
          <w:rFonts w:eastAsia="Arial"/>
          <w:color w:val="000000"/>
          <w:sz w:val="24"/>
          <w:szCs w:val="24"/>
        </w:rPr>
        <w:t>b) a possibilidade de rescisão administrativa do Contrato, na forma dos arts. 138 e 139 da Lei nº 14.133/2021, garantido o contraditório e a ampla defesa.</w:t>
      </w:r>
    </w:p>
    <w:p w14:paraId="22F36104">
      <w:pPr>
        <w:spacing w:line="288" w:lineRule="auto"/>
        <w:contextualSpacing/>
        <w:jc w:val="both"/>
        <w:rPr>
          <w:rFonts w:eastAsia="Arial"/>
          <w:color w:val="000000"/>
          <w:sz w:val="24"/>
          <w:szCs w:val="24"/>
        </w:rPr>
      </w:pPr>
    </w:p>
    <w:p w14:paraId="6DDD8F65">
      <w:pPr>
        <w:spacing w:line="288" w:lineRule="auto"/>
        <w:contextualSpacing/>
        <w:jc w:val="both"/>
        <w:rPr>
          <w:rFonts w:eastAsia="Arial"/>
          <w:color w:val="000000"/>
          <w:sz w:val="24"/>
          <w:szCs w:val="24"/>
        </w:rPr>
      </w:pPr>
      <w:r>
        <w:rPr>
          <w:rFonts w:eastAsia="Arial"/>
          <w:color w:val="000000"/>
          <w:sz w:val="24"/>
          <w:szCs w:val="24"/>
        </w:rPr>
        <w:t xml:space="preserve">11.8.1 Aplica-se o disposto na alínea a do item 11.8 à multa compensatória, nos termos do parágrafo único do art. 416 do Código Civil. </w:t>
      </w:r>
    </w:p>
    <w:p w14:paraId="67D317B1">
      <w:pPr>
        <w:spacing w:line="288" w:lineRule="auto"/>
        <w:contextualSpacing/>
        <w:jc w:val="both"/>
        <w:rPr>
          <w:rFonts w:eastAsia="Arial"/>
          <w:color w:val="000000"/>
          <w:sz w:val="24"/>
          <w:szCs w:val="24"/>
        </w:rPr>
      </w:pPr>
    </w:p>
    <w:p w14:paraId="2840C0D6">
      <w:pPr>
        <w:spacing w:line="288" w:lineRule="auto"/>
        <w:contextualSpacing/>
        <w:jc w:val="both"/>
        <w:rPr>
          <w:rFonts w:eastAsia="Arial"/>
          <w:color w:val="000000"/>
          <w:sz w:val="24"/>
          <w:szCs w:val="24"/>
        </w:rPr>
      </w:pPr>
      <w:r>
        <w:rPr>
          <w:rFonts w:eastAsia="Arial"/>
          <w:color w:val="000000"/>
          <w:sz w:val="24"/>
          <w:szCs w:val="24"/>
        </w:rPr>
        <w:t>11.9 As sanções de impedimento de licitar e contratar e de declaração de inidoneidade para licitar ou contratar são passíveis de reabilitação, observados os requisitos estabelecidos no art. 163 da Lei nº 14.133/2021.</w:t>
      </w:r>
    </w:p>
    <w:p w14:paraId="57329BEC">
      <w:pPr>
        <w:spacing w:line="288" w:lineRule="auto"/>
        <w:contextualSpacing/>
        <w:jc w:val="both"/>
        <w:rPr>
          <w:sz w:val="24"/>
          <w:szCs w:val="24"/>
        </w:rPr>
      </w:pPr>
    </w:p>
    <w:p w14:paraId="4B947FD4">
      <w:pPr>
        <w:spacing w:line="288" w:lineRule="auto"/>
        <w:contextualSpacing/>
        <w:jc w:val="both"/>
        <w:rPr>
          <w:sz w:val="24"/>
          <w:szCs w:val="24"/>
        </w:rPr>
      </w:pPr>
      <w:r>
        <w:rPr>
          <w:sz w:val="24"/>
          <w:szCs w:val="24"/>
        </w:rPr>
        <w:t xml:space="preserve">11.10 Se, durante o processo de aplicação de penalidade, houver indícios de prática de infração administrativa tipificada pela Lei nº 12.846/2013, como ato lesivo à administração pública nacional,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14:paraId="1AF8D2B7">
      <w:pPr>
        <w:spacing w:line="288" w:lineRule="auto"/>
        <w:contextualSpacing/>
        <w:jc w:val="both"/>
        <w:rPr>
          <w:sz w:val="24"/>
          <w:szCs w:val="24"/>
        </w:rPr>
      </w:pPr>
    </w:p>
    <w:p w14:paraId="56B88322">
      <w:pPr>
        <w:spacing w:line="288" w:lineRule="auto"/>
        <w:contextualSpacing/>
        <w:jc w:val="both"/>
        <w:rPr>
          <w:sz w:val="24"/>
          <w:szCs w:val="24"/>
        </w:rPr>
      </w:pPr>
      <w:r>
        <w:rPr>
          <w:sz w:val="24"/>
          <w:szCs w:val="24"/>
        </w:rPr>
        <w:t>11.10.1 A apuração e o julgamento das demais infrações administrativas não consideradas como ato lesivo à Administração Pública nacional nos termos da Lei nº 12.846/2013 seguirão seu rito normal na unidade administrativa.</w:t>
      </w:r>
    </w:p>
    <w:p w14:paraId="7F8B8238">
      <w:pPr>
        <w:spacing w:line="288" w:lineRule="auto"/>
        <w:contextualSpacing/>
        <w:jc w:val="both"/>
        <w:rPr>
          <w:sz w:val="24"/>
          <w:szCs w:val="24"/>
        </w:rPr>
      </w:pPr>
    </w:p>
    <w:p w14:paraId="260F9A80">
      <w:pPr>
        <w:spacing w:line="288" w:lineRule="auto"/>
        <w:contextualSpacing/>
        <w:jc w:val="both"/>
        <w:rPr>
          <w:sz w:val="24"/>
          <w:szCs w:val="24"/>
        </w:rPr>
      </w:pPr>
      <w:r>
        <w:rPr>
          <w:sz w:val="24"/>
          <w:szCs w:val="24"/>
        </w:rPr>
        <w:t>11.10.2 O processamento do PAR não interfere no seguimento regular dos processos administrativos específicos para apuração da ocorrência de danos e prejuízos à Administração Pública Municipal resultantes de ato lesivo cometido por pessoa jurídica, com ou sem a participação de agente público.</w:t>
      </w:r>
    </w:p>
    <w:p w14:paraId="3FA6F997">
      <w:pPr>
        <w:spacing w:line="288" w:lineRule="auto"/>
        <w:contextualSpacing/>
        <w:jc w:val="both"/>
        <w:rPr>
          <w:sz w:val="24"/>
          <w:szCs w:val="24"/>
        </w:rPr>
      </w:pPr>
    </w:p>
    <w:p w14:paraId="03C1EE93">
      <w:pPr>
        <w:spacing w:line="288" w:lineRule="auto"/>
        <w:contextualSpacing/>
        <w:jc w:val="both"/>
        <w:rPr>
          <w:sz w:val="24"/>
          <w:szCs w:val="24"/>
        </w:rPr>
      </w:pPr>
      <w:r>
        <w:rPr>
          <w:sz w:val="24"/>
          <w:szCs w:val="24"/>
        </w:rPr>
        <w:t>11.10.2.1 Caso seja possível, a apuração deverá ser promovida em conjunto no PAR.</w:t>
      </w:r>
    </w:p>
    <w:p w14:paraId="41EA3347">
      <w:pPr>
        <w:spacing w:line="288" w:lineRule="auto"/>
        <w:contextualSpacing/>
        <w:jc w:val="both"/>
        <w:rPr>
          <w:sz w:val="24"/>
          <w:szCs w:val="24"/>
        </w:rPr>
      </w:pPr>
    </w:p>
    <w:p w14:paraId="50BDF545">
      <w:pPr>
        <w:spacing w:line="288" w:lineRule="auto"/>
        <w:contextualSpacing/>
        <w:jc w:val="both"/>
        <w:rPr>
          <w:sz w:val="24"/>
          <w:szCs w:val="24"/>
        </w:rPr>
      </w:pPr>
      <w:r>
        <w:rPr>
          <w:sz w:val="24"/>
          <w:szCs w:val="24"/>
        </w:rPr>
        <w:t xml:space="preserve">11.11 Na hipótese de abertura de processo administrativo destinado a apuração de fatos e, se for o caso, aplicação de sanções ao </w:t>
      </w:r>
      <w:r>
        <w:rPr>
          <w:b/>
          <w:bCs/>
          <w:color w:val="000000"/>
          <w:sz w:val="24"/>
          <w:szCs w:val="24"/>
        </w:rPr>
        <w:t>CONTRATADO</w:t>
      </w:r>
      <w:r>
        <w:rPr>
          <w:sz w:val="24"/>
          <w:szCs w:val="24"/>
        </w:rPr>
        <w:t>, em decorrência de conduta vedada no contrato, as comunicações serão efetuadas por meio do endereço de correio eletrônico ("e-mail") cadastrado pela empresa junto ao Comprasnet.</w:t>
      </w:r>
    </w:p>
    <w:p w14:paraId="2277470A">
      <w:pPr>
        <w:autoSpaceDE w:val="0"/>
        <w:autoSpaceDN w:val="0"/>
        <w:adjustRightInd w:val="0"/>
        <w:spacing w:line="288" w:lineRule="auto"/>
        <w:contextualSpacing/>
        <w:jc w:val="both"/>
        <w:rPr>
          <w:sz w:val="24"/>
          <w:szCs w:val="24"/>
        </w:rPr>
      </w:pPr>
    </w:p>
    <w:p w14:paraId="54ECFE7B">
      <w:pPr>
        <w:autoSpaceDE w:val="0"/>
        <w:autoSpaceDN w:val="0"/>
        <w:adjustRightInd w:val="0"/>
        <w:spacing w:line="288" w:lineRule="auto"/>
        <w:contextualSpacing/>
        <w:jc w:val="both"/>
        <w:rPr>
          <w:sz w:val="24"/>
          <w:szCs w:val="24"/>
        </w:rPr>
      </w:pPr>
      <w:r>
        <w:rPr>
          <w:sz w:val="24"/>
          <w:szCs w:val="24"/>
        </w:rPr>
        <w:t xml:space="preserve">11.11.1 O </w:t>
      </w:r>
      <w:r>
        <w:rPr>
          <w:b/>
          <w:bCs/>
          <w:color w:val="000000"/>
          <w:sz w:val="24"/>
          <w:szCs w:val="24"/>
        </w:rPr>
        <w:t>CONTRATADO</w:t>
      </w:r>
      <w:r>
        <w:rPr>
          <w:sz w:val="24"/>
          <w:szCs w:val="24"/>
        </w:rPr>
        <w:t xml:space="preserve"> deverá manter atualizado o endereço de correio eletrônico ("e-mail") cadastrado junto ao sistema eletrônico Comprasnet e confirmar o recebimento das mensagens encaminhadas pelo órgão ou entidade contratante, não podendo alegar o desconhecimento do recebimento das comunicações por este meio como justificativa para se eximir das responsabilidades assumidas ou eventuais sanções aplicadas.</w:t>
      </w:r>
    </w:p>
    <w:p w14:paraId="22EBA933">
      <w:pPr>
        <w:autoSpaceDE w:val="0"/>
        <w:autoSpaceDN w:val="0"/>
        <w:adjustRightInd w:val="0"/>
        <w:spacing w:line="288" w:lineRule="auto"/>
        <w:contextualSpacing/>
        <w:jc w:val="both"/>
        <w:rPr>
          <w:sz w:val="24"/>
          <w:szCs w:val="24"/>
        </w:rPr>
      </w:pPr>
    </w:p>
    <w:p w14:paraId="45C6CE50">
      <w:pPr>
        <w:autoSpaceDE w:val="0"/>
        <w:autoSpaceDN w:val="0"/>
        <w:adjustRightInd w:val="0"/>
        <w:spacing w:line="288" w:lineRule="auto"/>
        <w:contextualSpacing/>
        <w:jc w:val="both"/>
        <w:rPr>
          <w:sz w:val="24"/>
          <w:szCs w:val="24"/>
        </w:rPr>
      </w:pPr>
      <w:r>
        <w:rPr>
          <w:sz w:val="24"/>
          <w:szCs w:val="24"/>
        </w:rPr>
        <w:t xml:space="preserve">11.12 O </w:t>
      </w:r>
      <w:r>
        <w:rPr>
          <w:b/>
          <w:bCs/>
          <w:sz w:val="24"/>
          <w:szCs w:val="24"/>
        </w:rPr>
        <w:t>CONTRATANTE</w:t>
      </w:r>
      <w:r>
        <w:rPr>
          <w:sz w:val="24"/>
          <w:szCs w:val="24"/>
        </w:rPr>
        <w:t xml:space="preserve"> deverá remeter para os órgãos competentes o extrato de publicação no Boletim Oficial do Município, do ato de aplicação das sanções de impedimento de licitar e contratar e de declaração de inidoneidade para licitar e contratar, de modo a possibilitar a formalização da extensão dos seus efeitos para todos os órgãos e entidades da Administração Pública do Município de Valença.</w:t>
      </w:r>
    </w:p>
    <w:p w14:paraId="76E5A328">
      <w:pPr>
        <w:pStyle w:val="74"/>
        <w:spacing w:line="288" w:lineRule="auto"/>
        <w:contextualSpacing/>
        <w:jc w:val="both"/>
        <w:rPr>
          <w:rFonts w:ascii="Times New Roman" w:hAnsi="Times New Roman" w:cs="Times New Roman"/>
        </w:rPr>
      </w:pPr>
    </w:p>
    <w:p w14:paraId="62B13C66">
      <w:pPr>
        <w:pStyle w:val="74"/>
        <w:spacing w:line="288" w:lineRule="auto"/>
        <w:contextualSpacing/>
        <w:jc w:val="both"/>
        <w:rPr>
          <w:rFonts w:ascii="Times New Roman" w:hAnsi="Times New Roman" w:cs="Times New Roman"/>
        </w:rPr>
      </w:pPr>
      <w:r>
        <w:rPr>
          <w:rFonts w:ascii="Times New Roman" w:hAnsi="Times New Roman" w:cs="Times New Roman"/>
        </w:rPr>
        <w:t>11.12.1 A aplicação das sanções de impedimento de licitar e contratar e de declaração de inidoneidade para licitar e contratar deverá ser comunicada à Secretaria Municipal de Controle Interno, no prazo de 15 (quinze) dias úteis, contado da sua aplicação, que informará, para fins de publicidade, ao Cadastro Nacional de Empresas Inidôneas e Suspensas – CEIS e ao Cadastro Nacional de Empresas Punidas (Cnep), na forma do art. 161 da Lei nº 14.133/2021.</w:t>
      </w:r>
    </w:p>
    <w:p w14:paraId="44671375">
      <w:pPr>
        <w:spacing w:line="288" w:lineRule="auto"/>
        <w:contextualSpacing/>
        <w:jc w:val="both"/>
        <w:rPr>
          <w:sz w:val="24"/>
          <w:szCs w:val="24"/>
        </w:rPr>
      </w:pPr>
    </w:p>
    <w:p w14:paraId="416259C1">
      <w:pPr>
        <w:spacing w:line="288" w:lineRule="auto"/>
        <w:contextualSpacing/>
        <w:jc w:val="both"/>
        <w:rPr>
          <w:sz w:val="24"/>
          <w:szCs w:val="24"/>
        </w:rPr>
      </w:pPr>
      <w:r>
        <w:rPr>
          <w:sz w:val="24"/>
          <w:szCs w:val="24"/>
        </w:rPr>
        <w:t xml:space="preserve">11.13 Caso o valor da multa aplicada seja superior ao </w:t>
      </w:r>
      <w:r>
        <w:rPr>
          <w:color w:val="000000"/>
          <w:sz w:val="24"/>
          <w:szCs w:val="24"/>
        </w:rPr>
        <w:t xml:space="preserve">do pagamento eventualmente devido pela Administração ao </w:t>
      </w:r>
      <w:r>
        <w:rPr>
          <w:b/>
          <w:bCs/>
          <w:color w:val="000000"/>
          <w:sz w:val="24"/>
          <w:szCs w:val="24"/>
        </w:rPr>
        <w:t>CONTRATADO</w:t>
      </w:r>
      <w:r>
        <w:rPr>
          <w:color w:val="000000"/>
          <w:sz w:val="24"/>
          <w:szCs w:val="24"/>
        </w:rPr>
        <w:t xml:space="preserve"> e da garantia prestada</w:t>
      </w:r>
      <w:r>
        <w:rPr>
          <w:sz w:val="24"/>
          <w:szCs w:val="24"/>
        </w:rPr>
        <w:t>, deverá ser emitida nota de débito no valor do saldo, no prazo de 30 (trinta) dias após a decisão final quanto à penalidade.</w:t>
      </w:r>
    </w:p>
    <w:p w14:paraId="751A0A51">
      <w:pPr>
        <w:spacing w:line="288" w:lineRule="auto"/>
        <w:contextualSpacing/>
        <w:jc w:val="both"/>
        <w:rPr>
          <w:sz w:val="24"/>
          <w:szCs w:val="24"/>
        </w:rPr>
      </w:pPr>
    </w:p>
    <w:p w14:paraId="030AB107">
      <w:pPr>
        <w:spacing w:line="288" w:lineRule="auto"/>
        <w:ind w:right="64"/>
        <w:contextualSpacing/>
        <w:jc w:val="both"/>
        <w:rPr>
          <w:sz w:val="24"/>
          <w:szCs w:val="24"/>
        </w:rPr>
      </w:pPr>
      <w:r>
        <w:rPr>
          <w:sz w:val="24"/>
          <w:szCs w:val="24"/>
        </w:rPr>
        <w:t>11.13.1 A nota de débito deverá ser encaminhada Departamento de Cadastro Controle e Arrecadação para inscrição do débito em dívida ativa e propositura de execução fiscal, na forma do art. 39 da Lei nº 4.320, de 17 de março de 1964.</w:t>
      </w:r>
    </w:p>
    <w:p w14:paraId="4C3606B9">
      <w:pPr>
        <w:spacing w:line="288" w:lineRule="auto"/>
        <w:contextualSpacing/>
        <w:jc w:val="both"/>
        <w:rPr>
          <w:sz w:val="24"/>
          <w:szCs w:val="24"/>
        </w:rPr>
      </w:pPr>
    </w:p>
    <w:p w14:paraId="4FACD55A">
      <w:pPr>
        <w:spacing w:line="288" w:lineRule="auto"/>
        <w:contextualSpacing/>
        <w:jc w:val="both"/>
        <w:rPr>
          <w:sz w:val="24"/>
          <w:szCs w:val="24"/>
        </w:rPr>
      </w:pPr>
      <w:r>
        <w:rPr>
          <w:sz w:val="24"/>
          <w:szCs w:val="24"/>
        </w:rPr>
        <w:t>11.13.2 O procedimento para inscrição do débito em dívida ativa deverá observar o que dispõe a Lei Complementar nº: 279/2024.</w:t>
      </w:r>
    </w:p>
    <w:p w14:paraId="3481CEFD">
      <w:pPr>
        <w:spacing w:line="288" w:lineRule="auto"/>
        <w:contextualSpacing/>
        <w:jc w:val="both"/>
        <w:rPr>
          <w:sz w:val="24"/>
          <w:szCs w:val="24"/>
        </w:rPr>
      </w:pPr>
    </w:p>
    <w:p w14:paraId="72EE8BF6">
      <w:pPr>
        <w:pStyle w:val="107"/>
        <w:numPr>
          <w:ilvl w:val="0"/>
          <w:numId w:val="0"/>
        </w:numPr>
        <w:spacing w:before="0" w:after="0" w:line="288" w:lineRule="auto"/>
        <w:contextualSpacing/>
        <w:rPr>
          <w:rFonts w:ascii="Times New Roman" w:hAnsi="Times New Roman" w:cs="Times New Roman"/>
          <w:color w:val="FFFFFF"/>
          <w:sz w:val="24"/>
          <w:szCs w:val="24"/>
        </w:rPr>
      </w:pPr>
      <w:r>
        <w:rPr>
          <w:rFonts w:ascii="Times New Roman" w:hAnsi="Times New Roman" w:cs="Times New Roman"/>
          <w:sz w:val="24"/>
          <w:szCs w:val="24"/>
        </w:rPr>
        <w:t>CLÁUSULA DÉCIMA SEGUNDA – DA EXTINÇÃO CONTRATUAL</w:t>
      </w:r>
    </w:p>
    <w:p w14:paraId="447C4438">
      <w:pPr>
        <w:pStyle w:val="108"/>
        <w:numPr>
          <w:ilvl w:val="0"/>
          <w:numId w:val="0"/>
        </w:numPr>
        <w:spacing w:before="0" w:after="0" w:line="288" w:lineRule="auto"/>
        <w:ind w:left="22"/>
        <w:contextualSpacing/>
        <w:rPr>
          <w:rFonts w:ascii="Times New Roman" w:hAnsi="Times New Roman" w:cs="Times New Roman"/>
          <w:i w:val="0"/>
          <w:iCs w:val="0"/>
          <w:color w:val="auto"/>
          <w:sz w:val="24"/>
          <w:szCs w:val="24"/>
        </w:rPr>
      </w:pPr>
    </w:p>
    <w:p w14:paraId="6E51E8E4">
      <w:pPr>
        <w:pStyle w:val="108"/>
        <w:numPr>
          <w:ilvl w:val="0"/>
          <w:numId w:val="0"/>
        </w:numPr>
        <w:tabs>
          <w:tab w:val="left" w:pos="0"/>
        </w:tabs>
        <w:spacing w:before="0" w:after="0" w:line="288" w:lineRule="auto"/>
        <w:ind w:right="-78"/>
        <w:contextualSpacing/>
        <w:rPr>
          <w:rFonts w:ascii="Times New Roman" w:hAnsi="Times New Roman" w:cs="Times New Roman"/>
          <w:i w:val="0"/>
          <w:iCs w:val="0"/>
          <w:color w:val="000000" w:themeColor="text1"/>
          <w:sz w:val="24"/>
          <w:szCs w:val="24"/>
          <w14:textFill>
            <w14:solidFill>
              <w14:schemeClr w14:val="tx1"/>
            </w14:solidFill>
          </w14:textFill>
        </w:rPr>
      </w:pPr>
      <w:r>
        <w:rPr>
          <w:rFonts w:ascii="Times New Roman" w:hAnsi="Times New Roman" w:cs="Times New Roman"/>
          <w:i w:val="0"/>
          <w:iCs w:val="0"/>
          <w:color w:val="000000" w:themeColor="text1"/>
          <w:sz w:val="24"/>
          <w:szCs w:val="24"/>
          <w14:textFill>
            <w14:solidFill>
              <w14:schemeClr w14:val="tx1"/>
            </w14:solidFill>
          </w14:textFill>
        </w:rPr>
        <w:t>12.1 O Contrato se extingue quando vencido o prazo nele estipulado, independentemente de terem sido cumpridas ou não as obrigações de ambas as partes contraentes, sem prejuízo da aplicação das penalidades eventualmente cabíveis, observados os preceitos da Lei nº 14.133/2021 e neste Contrato.</w:t>
      </w:r>
    </w:p>
    <w:p w14:paraId="576056C8">
      <w:pPr>
        <w:pStyle w:val="108"/>
        <w:numPr>
          <w:ilvl w:val="0"/>
          <w:numId w:val="0"/>
        </w:numPr>
        <w:spacing w:before="0" w:after="0" w:line="288" w:lineRule="auto"/>
        <w:ind w:left="567" w:right="-78"/>
        <w:contextualSpacing/>
        <w:rPr>
          <w:rFonts w:ascii="Times New Roman" w:hAnsi="Times New Roman" w:cs="Times New Roman"/>
          <w:i w:val="0"/>
          <w:iCs w:val="0"/>
          <w:color w:val="000000" w:themeColor="text1"/>
          <w:sz w:val="24"/>
          <w:szCs w:val="24"/>
          <w14:textFill>
            <w14:solidFill>
              <w14:schemeClr w14:val="tx1"/>
            </w14:solidFill>
          </w14:textFill>
        </w:rPr>
      </w:pPr>
    </w:p>
    <w:p w14:paraId="25EE1C7C">
      <w:pPr>
        <w:pStyle w:val="108"/>
        <w:numPr>
          <w:ilvl w:val="0"/>
          <w:numId w:val="0"/>
        </w:numPr>
        <w:spacing w:before="0" w:after="0" w:line="288" w:lineRule="auto"/>
        <w:ind w:right="-78"/>
        <w:contextualSpacing/>
        <w:rPr>
          <w:rFonts w:ascii="Times New Roman" w:hAnsi="Times New Roman" w:cs="Times New Roman"/>
          <w:i w:val="0"/>
          <w:iCs w:val="0"/>
          <w:color w:val="000000" w:themeColor="text1"/>
          <w:sz w:val="24"/>
          <w:szCs w:val="24"/>
          <w14:textFill>
            <w14:solidFill>
              <w14:schemeClr w14:val="tx1"/>
            </w14:solidFill>
          </w14:textFill>
        </w:rPr>
      </w:pPr>
      <w:r>
        <w:rPr>
          <w:rFonts w:ascii="Times New Roman" w:hAnsi="Times New Roman" w:cs="Times New Roman"/>
          <w:i w:val="0"/>
          <w:iCs w:val="0"/>
          <w:color w:val="000000" w:themeColor="text1"/>
          <w:sz w:val="24"/>
          <w:szCs w:val="24"/>
          <w14:textFill>
            <w14:solidFill>
              <w14:schemeClr w14:val="tx1"/>
            </w14:solidFill>
          </w14:textFill>
        </w:rPr>
        <w:t xml:space="preserve">12.2 O Contrato pode ser extinto antes do prazo nele fixado, sem ônus para o </w:t>
      </w:r>
      <w:r>
        <w:rPr>
          <w:rFonts w:ascii="Times New Roman" w:hAnsi="Times New Roman" w:cs="Times New Roman"/>
          <w:b/>
          <w:bCs/>
          <w:i w:val="0"/>
          <w:iCs w:val="0"/>
          <w:color w:val="000000" w:themeColor="text1"/>
          <w:sz w:val="24"/>
          <w:szCs w:val="24"/>
          <w14:textFill>
            <w14:solidFill>
              <w14:schemeClr w14:val="tx1"/>
            </w14:solidFill>
          </w14:textFill>
        </w:rPr>
        <w:t>CONTRATANTE</w:t>
      </w:r>
      <w:r>
        <w:rPr>
          <w:rFonts w:ascii="Times New Roman" w:hAnsi="Times New Roman" w:cs="Times New Roman"/>
          <w:i w:val="0"/>
          <w:iCs w:val="0"/>
          <w:color w:val="000000" w:themeColor="text1"/>
          <w:sz w:val="24"/>
          <w:szCs w:val="24"/>
          <w14:textFill>
            <w14:solidFill>
              <w14:schemeClr w14:val="tx1"/>
            </w14:solidFill>
          </w14:textFill>
        </w:rPr>
        <w:t>, quando este não dispuser de créditos orçamentários para sua continuidade ou quando entender que o Contrato não mais lhe oferece vantagem.</w:t>
      </w:r>
    </w:p>
    <w:p w14:paraId="3AC7951E">
      <w:pPr>
        <w:pStyle w:val="108"/>
        <w:numPr>
          <w:ilvl w:val="0"/>
          <w:numId w:val="0"/>
        </w:numPr>
        <w:spacing w:before="0" w:after="0" w:line="288" w:lineRule="auto"/>
        <w:ind w:left="567" w:right="-78"/>
        <w:contextualSpacing/>
        <w:rPr>
          <w:rFonts w:ascii="Times New Roman" w:hAnsi="Times New Roman" w:cs="Times New Roman"/>
          <w:i w:val="0"/>
          <w:iCs w:val="0"/>
          <w:color w:val="000000" w:themeColor="text1"/>
          <w:sz w:val="24"/>
          <w:szCs w:val="24"/>
          <w14:textFill>
            <w14:solidFill>
              <w14:schemeClr w14:val="tx1"/>
            </w14:solidFill>
          </w14:textFill>
        </w:rPr>
      </w:pPr>
    </w:p>
    <w:p w14:paraId="15B07219">
      <w:pPr>
        <w:pStyle w:val="108"/>
        <w:numPr>
          <w:ilvl w:val="0"/>
          <w:numId w:val="0"/>
        </w:numPr>
        <w:spacing w:before="0" w:after="0" w:line="288" w:lineRule="auto"/>
        <w:ind w:right="-78"/>
        <w:contextualSpacing/>
        <w:rPr>
          <w:rFonts w:ascii="Times New Roman" w:hAnsi="Times New Roman" w:cs="Times New Roman"/>
          <w:i w:val="0"/>
          <w:iCs w:val="0"/>
          <w:color w:val="000000" w:themeColor="text1"/>
          <w:sz w:val="24"/>
          <w:szCs w:val="24"/>
          <w14:textFill>
            <w14:solidFill>
              <w14:schemeClr w14:val="tx1"/>
            </w14:solidFill>
          </w14:textFill>
        </w:rPr>
      </w:pPr>
      <w:r>
        <w:rPr>
          <w:rFonts w:ascii="Times New Roman" w:hAnsi="Times New Roman" w:cs="Times New Roman"/>
          <w:i w:val="0"/>
          <w:iCs w:val="0"/>
          <w:color w:val="000000" w:themeColor="text1"/>
          <w:sz w:val="24"/>
          <w:szCs w:val="24"/>
          <w14:textFill>
            <w14:solidFill>
              <w14:schemeClr w14:val="tx1"/>
            </w14:solidFill>
          </w14:textFill>
        </w:rPr>
        <w:t xml:space="preserve">12.2.1 A extinção nesta hipótese ocorrerá na próxima data de aniversário do Contrato, desde que haja a notificação do </w:t>
      </w:r>
      <w:r>
        <w:rPr>
          <w:rFonts w:ascii="Times New Roman" w:hAnsi="Times New Roman" w:cs="Times New Roman"/>
          <w:b/>
          <w:bCs/>
          <w:i w:val="0"/>
          <w:iCs w:val="0"/>
          <w:color w:val="000000" w:themeColor="text1"/>
          <w:sz w:val="24"/>
          <w:szCs w:val="24"/>
          <w14:textFill>
            <w14:solidFill>
              <w14:schemeClr w14:val="tx1"/>
            </w14:solidFill>
          </w14:textFill>
        </w:rPr>
        <w:t>CONTRATADO</w:t>
      </w:r>
      <w:r>
        <w:rPr>
          <w:rFonts w:ascii="Times New Roman" w:hAnsi="Times New Roman" w:cs="Times New Roman"/>
          <w:i w:val="0"/>
          <w:iCs w:val="0"/>
          <w:color w:val="000000" w:themeColor="text1"/>
          <w:sz w:val="24"/>
          <w:szCs w:val="24"/>
          <w14:textFill>
            <w14:solidFill>
              <w14:schemeClr w14:val="tx1"/>
            </w14:solidFill>
          </w14:textFill>
        </w:rPr>
        <w:t xml:space="preserve"> pelo </w:t>
      </w:r>
      <w:r>
        <w:rPr>
          <w:rFonts w:ascii="Times New Roman" w:hAnsi="Times New Roman" w:cs="Times New Roman"/>
          <w:b/>
          <w:bCs/>
          <w:i w:val="0"/>
          <w:iCs w:val="0"/>
          <w:color w:val="000000" w:themeColor="text1"/>
          <w:sz w:val="24"/>
          <w:szCs w:val="24"/>
          <w14:textFill>
            <w14:solidFill>
              <w14:schemeClr w14:val="tx1"/>
            </w14:solidFill>
          </w14:textFill>
        </w:rPr>
        <w:t>CONTRATANTE</w:t>
      </w:r>
      <w:r>
        <w:rPr>
          <w:rFonts w:ascii="Times New Roman" w:hAnsi="Times New Roman" w:cs="Times New Roman"/>
          <w:i w:val="0"/>
          <w:iCs w:val="0"/>
          <w:color w:val="000000" w:themeColor="text1"/>
          <w:sz w:val="24"/>
          <w:szCs w:val="24"/>
          <w14:textFill>
            <w14:solidFill>
              <w14:schemeClr w14:val="tx1"/>
            </w14:solidFill>
          </w14:textFill>
        </w:rPr>
        <w:t xml:space="preserve"> nesse sentido com pelo menos 2 (dois) meses de antecedência desse dia.</w:t>
      </w:r>
    </w:p>
    <w:p w14:paraId="2D15E686">
      <w:pPr>
        <w:spacing w:line="288" w:lineRule="auto"/>
        <w:ind w:left="567" w:right="-78"/>
        <w:contextualSpacing/>
        <w:jc w:val="both"/>
        <w:rPr>
          <w:color w:val="000000" w:themeColor="text1"/>
          <w:sz w:val="24"/>
          <w:szCs w:val="24"/>
          <w14:textFill>
            <w14:solidFill>
              <w14:schemeClr w14:val="tx1"/>
            </w14:solidFill>
          </w14:textFill>
        </w:rPr>
      </w:pPr>
    </w:p>
    <w:p w14:paraId="3C397A6C">
      <w:pPr>
        <w:spacing w:line="288" w:lineRule="auto"/>
        <w:ind w:right="-78"/>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12.2.2 Caso a notificação da não-continuidade do Contrato de que trata este subitem ocorra com menos de 2 (dois) meses de antecedência da data de aniversário, a extinção contratual ocorrerá após 2 (dois) meses da data da comunicação.</w:t>
      </w:r>
    </w:p>
    <w:p w14:paraId="041A4F9D">
      <w:pPr>
        <w:spacing w:line="288" w:lineRule="auto"/>
        <w:ind w:left="567" w:right="565"/>
        <w:contextualSpacing/>
        <w:jc w:val="both"/>
        <w:rPr>
          <w:sz w:val="24"/>
          <w:szCs w:val="24"/>
        </w:rPr>
      </w:pPr>
    </w:p>
    <w:p w14:paraId="006CED5E">
      <w:pPr>
        <w:spacing w:line="288" w:lineRule="auto"/>
        <w:contextualSpacing/>
        <w:jc w:val="both"/>
        <w:rPr>
          <w:sz w:val="24"/>
          <w:szCs w:val="24"/>
        </w:rPr>
      </w:pPr>
      <w:r>
        <w:rPr>
          <w:sz w:val="24"/>
          <w:szCs w:val="24"/>
        </w:rPr>
        <w:t>12.3 O presente Contrato poderá ser extinto, antes de cumpridas as obrigações estipuladas, ou antes do prazo neste fixado:</w:t>
      </w:r>
    </w:p>
    <w:p w14:paraId="6DDACC85">
      <w:pPr>
        <w:spacing w:line="288" w:lineRule="auto"/>
        <w:contextualSpacing/>
        <w:jc w:val="both"/>
        <w:rPr>
          <w:sz w:val="24"/>
          <w:szCs w:val="24"/>
        </w:rPr>
      </w:pPr>
      <w:r>
        <w:rPr>
          <w:sz w:val="24"/>
          <w:szCs w:val="24"/>
        </w:rPr>
        <w:t xml:space="preserve">a) por ato unilateral do </w:t>
      </w:r>
      <w:r>
        <w:rPr>
          <w:b/>
          <w:bCs/>
          <w:sz w:val="24"/>
          <w:szCs w:val="24"/>
        </w:rPr>
        <w:t>CONTRATANTE</w:t>
      </w:r>
      <w:r>
        <w:rPr>
          <w:sz w:val="24"/>
          <w:szCs w:val="24"/>
        </w:rPr>
        <w:t xml:space="preserve">, em razão da inexecução total ou parcial do objeto e/ou das obrigações previstas no presente instrumento e/ou por algum dos motivos previstos no art. 137 da Lei nº 14.133/2021, assegurados o contraditório e a ampla defesa, devendo, ainda, ser observado o disposto nos arts. 138 e 139 da referida Lei; </w:t>
      </w:r>
    </w:p>
    <w:p w14:paraId="7DE4EBF2">
      <w:pPr>
        <w:spacing w:line="288" w:lineRule="auto"/>
        <w:contextualSpacing/>
        <w:jc w:val="both"/>
        <w:rPr>
          <w:sz w:val="24"/>
          <w:szCs w:val="24"/>
        </w:rPr>
      </w:pPr>
      <w:r>
        <w:rPr>
          <w:sz w:val="24"/>
          <w:szCs w:val="24"/>
        </w:rPr>
        <w:t>b) consensualmente, na forma do art. 138, II, da Lei nº 14.133/2021; e</w:t>
      </w:r>
    </w:p>
    <w:p w14:paraId="523CA25E">
      <w:pPr>
        <w:spacing w:line="288" w:lineRule="auto"/>
        <w:contextualSpacing/>
        <w:jc w:val="both"/>
        <w:rPr>
          <w:iCs/>
          <w:sz w:val="24"/>
          <w:szCs w:val="24"/>
        </w:rPr>
      </w:pPr>
      <w:r>
        <w:rPr>
          <w:sz w:val="24"/>
          <w:szCs w:val="24"/>
        </w:rPr>
        <w:t xml:space="preserve">c) na hipótese de contratação direta fundamentada no art. 75, VIII, da Lei nº 14.133/2021, </w:t>
      </w:r>
      <w:r>
        <w:rPr>
          <w:iCs/>
          <w:sz w:val="24"/>
          <w:szCs w:val="24"/>
        </w:rPr>
        <w:t xml:space="preserve">a qualquer tempo, sem indenização, e independentemente de aviso ou prazo, pelo </w:t>
      </w:r>
      <w:r>
        <w:rPr>
          <w:b/>
          <w:bCs/>
          <w:iCs/>
          <w:sz w:val="24"/>
          <w:szCs w:val="24"/>
        </w:rPr>
        <w:t>CONTRATANTE</w:t>
      </w:r>
      <w:r>
        <w:rPr>
          <w:iCs/>
          <w:sz w:val="24"/>
          <w:szCs w:val="24"/>
        </w:rPr>
        <w:t>, tão logo esteja(m) concluído(s) o(s) procedimento(s) licitatório(s) implementado(s) para a contratação do objeto em questão.</w:t>
      </w:r>
    </w:p>
    <w:p w14:paraId="7B2DC8EF">
      <w:pPr>
        <w:pStyle w:val="108"/>
        <w:numPr>
          <w:ilvl w:val="0"/>
          <w:numId w:val="0"/>
        </w:numPr>
        <w:spacing w:before="0" w:after="0" w:line="288" w:lineRule="auto"/>
        <w:ind w:left="22"/>
        <w:contextualSpacing/>
        <w:rPr>
          <w:rFonts w:ascii="Times New Roman" w:hAnsi="Times New Roman" w:cs="Times New Roman"/>
          <w:i w:val="0"/>
          <w:iCs w:val="0"/>
          <w:color w:val="auto"/>
          <w:sz w:val="24"/>
          <w:szCs w:val="24"/>
        </w:rPr>
      </w:pPr>
    </w:p>
    <w:p w14:paraId="26828265">
      <w:pPr>
        <w:pStyle w:val="108"/>
        <w:numPr>
          <w:ilvl w:val="0"/>
          <w:numId w:val="0"/>
        </w:numPr>
        <w:spacing w:before="0" w:after="0" w:line="288" w:lineRule="auto"/>
        <w:ind w:left="22"/>
        <w:contextualSpacing/>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t>12.3.1 A alteração social ou a modificação da finalidade ou da estrutura da empresa não ensejará a rescisão se não restringir sua capacidade de concluir o Contrato.</w:t>
      </w:r>
    </w:p>
    <w:p w14:paraId="77D1230C">
      <w:pPr>
        <w:pStyle w:val="108"/>
        <w:numPr>
          <w:ilvl w:val="0"/>
          <w:numId w:val="0"/>
        </w:numPr>
        <w:spacing w:before="0" w:after="0" w:line="288" w:lineRule="auto"/>
        <w:ind w:left="22"/>
        <w:contextualSpacing/>
        <w:rPr>
          <w:rFonts w:ascii="Times New Roman" w:hAnsi="Times New Roman" w:cs="Times New Roman"/>
          <w:i w:val="0"/>
          <w:iCs w:val="0"/>
          <w:color w:val="auto"/>
          <w:sz w:val="24"/>
          <w:szCs w:val="24"/>
        </w:rPr>
      </w:pPr>
    </w:p>
    <w:p w14:paraId="2D3A72B4">
      <w:pPr>
        <w:pStyle w:val="108"/>
        <w:numPr>
          <w:ilvl w:val="0"/>
          <w:numId w:val="0"/>
        </w:numPr>
        <w:spacing w:before="0" w:after="0" w:line="288" w:lineRule="auto"/>
        <w:ind w:left="22"/>
        <w:contextualSpacing/>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t>12.3.2 Se a operação implicar mudança da pessoa jurídica contratada, deverá ser formalizado termo aditivo para alteração subjetiva.</w:t>
      </w:r>
    </w:p>
    <w:p w14:paraId="364F3A3C">
      <w:pPr>
        <w:spacing w:line="288" w:lineRule="auto"/>
        <w:contextualSpacing/>
        <w:jc w:val="both"/>
        <w:rPr>
          <w:color w:val="000000"/>
          <w:sz w:val="24"/>
          <w:szCs w:val="24"/>
        </w:rPr>
      </w:pPr>
    </w:p>
    <w:p w14:paraId="1879D748">
      <w:pPr>
        <w:spacing w:line="288" w:lineRule="auto"/>
        <w:contextualSpacing/>
        <w:jc w:val="both"/>
        <w:rPr>
          <w:sz w:val="24"/>
          <w:szCs w:val="24"/>
        </w:rPr>
      </w:pPr>
      <w:r>
        <w:rPr>
          <w:color w:val="000000"/>
          <w:sz w:val="24"/>
          <w:szCs w:val="24"/>
        </w:rPr>
        <w:t>12.4 A extinção prematura do Contrato deverá ser precedida de autorização escrita e fundamentada da autoridade competente e reduzida a termo no respectivo processo.</w:t>
      </w:r>
    </w:p>
    <w:p w14:paraId="1544A393">
      <w:pPr>
        <w:spacing w:line="288" w:lineRule="auto"/>
        <w:contextualSpacing/>
        <w:jc w:val="both"/>
        <w:rPr>
          <w:sz w:val="24"/>
          <w:szCs w:val="24"/>
        </w:rPr>
      </w:pPr>
    </w:p>
    <w:p w14:paraId="0543FDA5">
      <w:pPr>
        <w:spacing w:line="288" w:lineRule="auto"/>
        <w:contextualSpacing/>
        <w:jc w:val="both"/>
        <w:rPr>
          <w:sz w:val="24"/>
          <w:szCs w:val="24"/>
        </w:rPr>
      </w:pPr>
      <w:r>
        <w:rPr>
          <w:sz w:val="24"/>
          <w:szCs w:val="24"/>
        </w:rPr>
        <w:t xml:space="preserve">12.4.1 A justificativa da rescisão por ato unilateral do </w:t>
      </w:r>
      <w:r>
        <w:rPr>
          <w:b/>
          <w:bCs/>
          <w:sz w:val="24"/>
          <w:szCs w:val="24"/>
        </w:rPr>
        <w:t>CONTRATANTE</w:t>
      </w:r>
      <w:r>
        <w:rPr>
          <w:sz w:val="24"/>
          <w:szCs w:val="24"/>
        </w:rPr>
        <w:t>, sempre que possível, contemplará:</w:t>
      </w:r>
    </w:p>
    <w:p w14:paraId="1C66621C">
      <w:pPr>
        <w:spacing w:line="288" w:lineRule="auto"/>
        <w:contextualSpacing/>
        <w:jc w:val="both"/>
        <w:rPr>
          <w:sz w:val="24"/>
          <w:szCs w:val="24"/>
        </w:rPr>
      </w:pPr>
      <w:r>
        <w:rPr>
          <w:sz w:val="24"/>
          <w:szCs w:val="24"/>
        </w:rPr>
        <w:t>a) as obrigações contratuais já cumpridas ou parcialmente cumpridas;</w:t>
      </w:r>
    </w:p>
    <w:p w14:paraId="1ECE845F">
      <w:pPr>
        <w:spacing w:line="288" w:lineRule="auto"/>
        <w:contextualSpacing/>
        <w:jc w:val="both"/>
        <w:rPr>
          <w:sz w:val="24"/>
          <w:szCs w:val="24"/>
        </w:rPr>
      </w:pPr>
      <w:r>
        <w:rPr>
          <w:sz w:val="24"/>
          <w:szCs w:val="24"/>
        </w:rPr>
        <w:t>b) os pagamentos já efetuados e ainda devidos;</w:t>
      </w:r>
    </w:p>
    <w:p w14:paraId="73B8ECD3">
      <w:pPr>
        <w:spacing w:line="288" w:lineRule="auto"/>
        <w:contextualSpacing/>
        <w:jc w:val="both"/>
        <w:rPr>
          <w:sz w:val="24"/>
          <w:szCs w:val="24"/>
        </w:rPr>
      </w:pPr>
      <w:r>
        <w:rPr>
          <w:sz w:val="24"/>
          <w:szCs w:val="24"/>
        </w:rPr>
        <w:t>c) as indenizações e multas.</w:t>
      </w:r>
    </w:p>
    <w:p w14:paraId="18626353">
      <w:pPr>
        <w:pStyle w:val="103"/>
        <w:spacing w:before="0" w:after="0" w:line="288" w:lineRule="auto"/>
        <w:ind w:left="0" w:firstLine="0"/>
        <w:contextualSpacing/>
        <w:rPr>
          <w:rFonts w:ascii="Times New Roman" w:hAnsi="Times New Roman" w:cs="Times New Roman"/>
          <w:sz w:val="24"/>
          <w:szCs w:val="24"/>
        </w:rPr>
      </w:pPr>
    </w:p>
    <w:p w14:paraId="1189269F">
      <w:pPr>
        <w:pStyle w:val="103"/>
        <w:spacing w:before="0" w:after="0" w:line="288" w:lineRule="auto"/>
        <w:ind w:left="0" w:firstLine="0"/>
        <w:contextualSpacing/>
        <w:rPr>
          <w:rStyle w:val="16"/>
          <w:rFonts w:ascii="Times New Roman" w:hAnsi="Times New Roman" w:cs="Times New Roman" w:eastAsiaTheme="minorHAnsi"/>
          <w:color w:val="auto"/>
          <w:sz w:val="24"/>
          <w:szCs w:val="24"/>
        </w:rPr>
      </w:pPr>
      <w:r>
        <w:rPr>
          <w:rFonts w:ascii="Times New Roman" w:hAnsi="Times New Roman" w:cs="Times New Roman"/>
          <w:sz w:val="24"/>
          <w:szCs w:val="24"/>
        </w:rPr>
        <w:t xml:space="preserve">12.5 A extinção do Contrato não configura óbice para o reconhecimento do desequilíbrio econômico-financeiro, hipótese em que será concedida indenização por meio de termo indenizatório, na forma do </w:t>
      </w:r>
      <w:r>
        <w:fldChar w:fldCharType="begin"/>
      </w:r>
      <w:r>
        <w:instrText xml:space="preserve"> HYPERLINK "http://www.planalto.gov.br/ccivil_03/_ato2019-2022/2021/lei/L14133.htm" \l "art131" </w:instrText>
      </w:r>
      <w:r>
        <w:fldChar w:fldCharType="separate"/>
      </w:r>
      <w:r>
        <w:rPr>
          <w:rStyle w:val="16"/>
          <w:rFonts w:ascii="Times New Roman" w:hAnsi="Times New Roman" w:cs="Times New Roman" w:eastAsiaTheme="minorHAnsi"/>
          <w:color w:val="auto"/>
          <w:sz w:val="24"/>
          <w:szCs w:val="24"/>
        </w:rPr>
        <w:t xml:space="preserve">art. 131, </w:t>
      </w:r>
      <w:r>
        <w:rPr>
          <w:rStyle w:val="16"/>
          <w:rFonts w:ascii="Times New Roman" w:hAnsi="Times New Roman" w:cs="Times New Roman" w:eastAsiaTheme="minorHAnsi"/>
          <w:i/>
          <w:iCs/>
          <w:color w:val="auto"/>
          <w:sz w:val="24"/>
          <w:szCs w:val="24"/>
        </w:rPr>
        <w:t xml:space="preserve">caput, </w:t>
      </w:r>
      <w:r>
        <w:rPr>
          <w:rStyle w:val="16"/>
          <w:rFonts w:ascii="Times New Roman" w:hAnsi="Times New Roman" w:cs="Times New Roman" w:eastAsiaTheme="minorHAnsi"/>
          <w:color w:val="auto"/>
          <w:sz w:val="24"/>
          <w:szCs w:val="24"/>
        </w:rPr>
        <w:t xml:space="preserve">da Lei nº 14.133/2021, desde que o pedido seja </w:t>
      </w:r>
      <w:r>
        <w:rPr>
          <w:rFonts w:ascii="Times New Roman" w:hAnsi="Times New Roman" w:cs="Times New Roman"/>
          <w:sz w:val="24"/>
          <w:szCs w:val="24"/>
        </w:rPr>
        <w:t>formulado durante a vigência do Contrato e antes de eventual prorrogação</w:t>
      </w:r>
      <w:r>
        <w:rPr>
          <w:rStyle w:val="16"/>
          <w:rFonts w:ascii="Times New Roman" w:hAnsi="Times New Roman" w:cs="Times New Roman" w:eastAsiaTheme="minorHAnsi"/>
          <w:color w:val="auto"/>
          <w:sz w:val="24"/>
          <w:szCs w:val="24"/>
        </w:rPr>
        <w:t>.</w:t>
      </w:r>
      <w:r>
        <w:rPr>
          <w:rStyle w:val="16"/>
          <w:rFonts w:ascii="Times New Roman" w:hAnsi="Times New Roman" w:cs="Times New Roman" w:eastAsiaTheme="minorHAnsi"/>
          <w:color w:val="auto"/>
          <w:sz w:val="24"/>
          <w:szCs w:val="24"/>
        </w:rPr>
        <w:fldChar w:fldCharType="end"/>
      </w:r>
    </w:p>
    <w:p w14:paraId="559B4F78">
      <w:pPr>
        <w:pStyle w:val="103"/>
        <w:spacing w:before="0" w:after="0" w:line="288" w:lineRule="auto"/>
        <w:ind w:left="0" w:firstLine="0"/>
        <w:contextualSpacing/>
        <w:rPr>
          <w:rStyle w:val="16"/>
          <w:rFonts w:ascii="Times New Roman" w:hAnsi="Times New Roman" w:cs="Times New Roman" w:eastAsiaTheme="minorHAnsi"/>
          <w:color w:val="auto"/>
          <w:sz w:val="24"/>
          <w:szCs w:val="24"/>
        </w:rPr>
      </w:pPr>
    </w:p>
    <w:p w14:paraId="424480CA">
      <w:pPr>
        <w:pStyle w:val="103"/>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12.6. Extinto o Contrato, o </w:t>
      </w:r>
      <w:r>
        <w:rPr>
          <w:rFonts w:ascii="Times New Roman" w:hAnsi="Times New Roman" w:cs="Times New Roman"/>
          <w:b/>
          <w:bCs/>
          <w:sz w:val="24"/>
          <w:szCs w:val="24"/>
        </w:rPr>
        <w:t>CONTRATANTE</w:t>
      </w:r>
      <w:r>
        <w:rPr>
          <w:rFonts w:ascii="Times New Roman" w:hAnsi="Times New Roman" w:cs="Times New Roman"/>
          <w:sz w:val="24"/>
          <w:szCs w:val="24"/>
        </w:rPr>
        <w:t xml:space="preserve"> poderá ainda:</w:t>
      </w:r>
    </w:p>
    <w:p w14:paraId="590DA930">
      <w:pPr>
        <w:spacing w:before="120" w:after="120" w:line="288" w:lineRule="auto"/>
        <w:contextualSpacing/>
        <w:jc w:val="both"/>
        <w:rPr>
          <w:color w:val="000000"/>
          <w:sz w:val="24"/>
          <w:szCs w:val="24"/>
        </w:rPr>
      </w:pPr>
    </w:p>
    <w:p w14:paraId="7C206E2D">
      <w:pPr>
        <w:spacing w:before="120" w:after="120" w:line="288" w:lineRule="auto"/>
        <w:contextualSpacing/>
        <w:jc w:val="both"/>
        <w:rPr>
          <w:color w:val="000000"/>
          <w:sz w:val="24"/>
          <w:szCs w:val="24"/>
        </w:rPr>
      </w:pPr>
      <w:r>
        <w:rPr>
          <w:color w:val="000000"/>
          <w:sz w:val="24"/>
          <w:szCs w:val="24"/>
        </w:rPr>
        <w:t xml:space="preserve">12.6.1 nos casos de obrigação de pagamento de multa pelo </w:t>
      </w:r>
      <w:r>
        <w:rPr>
          <w:b/>
          <w:bCs/>
          <w:color w:val="000000"/>
          <w:sz w:val="24"/>
          <w:szCs w:val="24"/>
        </w:rPr>
        <w:t>CONTRATADO</w:t>
      </w:r>
      <w:r>
        <w:rPr>
          <w:color w:val="000000"/>
          <w:sz w:val="24"/>
          <w:szCs w:val="24"/>
        </w:rPr>
        <w:t>, reter e executar a garantia prestada; e</w:t>
      </w:r>
    </w:p>
    <w:p w14:paraId="032FA917">
      <w:pPr>
        <w:spacing w:before="120" w:after="120" w:line="288" w:lineRule="auto"/>
        <w:contextualSpacing/>
        <w:jc w:val="both"/>
        <w:rPr>
          <w:color w:val="000000"/>
          <w:sz w:val="24"/>
          <w:szCs w:val="24"/>
        </w:rPr>
      </w:pPr>
    </w:p>
    <w:p w14:paraId="56768AD5">
      <w:pPr>
        <w:spacing w:before="120" w:after="120" w:line="288" w:lineRule="auto"/>
        <w:contextualSpacing/>
        <w:jc w:val="both"/>
        <w:rPr>
          <w:sz w:val="24"/>
          <w:szCs w:val="24"/>
        </w:rPr>
      </w:pPr>
      <w:r>
        <w:rPr>
          <w:color w:val="000000"/>
          <w:sz w:val="24"/>
          <w:szCs w:val="24"/>
        </w:rPr>
        <w:t>12.6.2 nos casos em que houver necessidade de ressarcimento de prejuízos causados à Administração, nos termos do inciso IV do art. 139 da Lei nº 14.133/2021, reter os eventuais créditos existentes</w:t>
      </w:r>
      <w:r>
        <w:rPr>
          <w:sz w:val="24"/>
          <w:szCs w:val="24"/>
        </w:rPr>
        <w:t xml:space="preserve"> em favor do </w:t>
      </w:r>
      <w:r>
        <w:rPr>
          <w:b/>
          <w:bCs/>
          <w:sz w:val="24"/>
          <w:szCs w:val="24"/>
        </w:rPr>
        <w:t>C</w:t>
      </w:r>
      <w:r>
        <w:rPr>
          <w:b/>
          <w:bCs/>
          <w:color w:val="000000"/>
          <w:sz w:val="24"/>
          <w:szCs w:val="24"/>
        </w:rPr>
        <w:t>ONTRATADO</w:t>
      </w:r>
      <w:r>
        <w:rPr>
          <w:sz w:val="24"/>
          <w:szCs w:val="24"/>
        </w:rPr>
        <w:t xml:space="preserve"> decorrentes do Contrato.</w:t>
      </w:r>
    </w:p>
    <w:p w14:paraId="1CB8DF0E">
      <w:pPr>
        <w:spacing w:before="120" w:after="120" w:line="288" w:lineRule="auto"/>
        <w:contextualSpacing/>
        <w:jc w:val="both"/>
        <w:rPr>
          <w:sz w:val="24"/>
          <w:szCs w:val="24"/>
        </w:rPr>
      </w:pPr>
    </w:p>
    <w:p w14:paraId="7B51E61D">
      <w:pPr>
        <w:pStyle w:val="101"/>
        <w:spacing w:before="0" w:line="288" w:lineRule="auto"/>
        <w:ind w:left="22" w:firstLine="0"/>
        <w:contextualSpacing/>
        <w:rPr>
          <w:rFonts w:ascii="Times New Roman" w:hAnsi="Times New Roman" w:cs="Times New Roman"/>
          <w:color w:val="FFFFFF"/>
          <w:sz w:val="24"/>
          <w:szCs w:val="24"/>
        </w:rPr>
      </w:pPr>
      <w:r>
        <w:rPr>
          <w:rFonts w:ascii="Times New Roman" w:hAnsi="Times New Roman" w:cs="Times New Roman"/>
          <w:sz w:val="24"/>
          <w:szCs w:val="24"/>
        </w:rPr>
        <w:t>CLÁUSULA DÉCIMA TERCEIRA – ALTERAÇÕES</w:t>
      </w:r>
    </w:p>
    <w:p w14:paraId="0FF5D20F">
      <w:pPr>
        <w:pStyle w:val="99"/>
        <w:spacing w:before="0" w:after="0" w:line="288" w:lineRule="auto"/>
        <w:ind w:left="22" w:firstLine="0"/>
        <w:contextualSpacing/>
        <w:rPr>
          <w:rFonts w:ascii="Times New Roman" w:hAnsi="Times New Roman" w:cs="Times New Roman"/>
          <w:sz w:val="24"/>
          <w:szCs w:val="24"/>
        </w:rPr>
      </w:pPr>
    </w:p>
    <w:p w14:paraId="64885619">
      <w:pPr>
        <w:pStyle w:val="99"/>
        <w:spacing w:before="0" w:after="0" w:line="288" w:lineRule="auto"/>
        <w:ind w:left="22" w:firstLine="0"/>
        <w:contextualSpacing/>
        <w:rPr>
          <w:rFonts w:ascii="Times New Roman" w:hAnsi="Times New Roman" w:cs="Times New Roman"/>
          <w:color w:val="auto"/>
          <w:sz w:val="24"/>
          <w:szCs w:val="24"/>
        </w:rPr>
      </w:pPr>
      <w:r>
        <w:rPr>
          <w:rFonts w:ascii="Times New Roman" w:hAnsi="Times New Roman" w:cs="Times New Roman"/>
          <w:sz w:val="24"/>
          <w:szCs w:val="24"/>
        </w:rPr>
        <w:t xml:space="preserve">13.1 Eventuais alterações contratuais reger-se-ão pela disciplina dos </w:t>
      </w:r>
      <w:r>
        <w:fldChar w:fldCharType="begin"/>
      </w:r>
      <w:r>
        <w:instrText xml:space="preserve"> HYPERLINK "http://www.planalto.gov.br/ccivil_03/_ato2019-2022/2021/lei/L14133.htm" \l "art124" </w:instrText>
      </w:r>
      <w:r>
        <w:fldChar w:fldCharType="separate"/>
      </w:r>
      <w:r>
        <w:rPr>
          <w:rStyle w:val="16"/>
          <w:rFonts w:ascii="Times New Roman" w:hAnsi="Times New Roman" w:cs="Times New Roman" w:eastAsiaTheme="minorHAnsi"/>
          <w:color w:val="auto"/>
          <w:sz w:val="24"/>
          <w:szCs w:val="24"/>
        </w:rPr>
        <w:t>arts. 124 e seguintes da Lei nº 14.133/2021</w:t>
      </w:r>
      <w:r>
        <w:rPr>
          <w:rStyle w:val="16"/>
          <w:rFonts w:ascii="Times New Roman" w:hAnsi="Times New Roman" w:cs="Times New Roman" w:eastAsiaTheme="minorHAnsi"/>
          <w:color w:val="auto"/>
          <w:sz w:val="24"/>
          <w:szCs w:val="24"/>
        </w:rPr>
        <w:fldChar w:fldCharType="end"/>
      </w:r>
      <w:r>
        <w:rPr>
          <w:rFonts w:ascii="Times New Roman" w:hAnsi="Times New Roman" w:cs="Times New Roman"/>
          <w:color w:val="auto"/>
          <w:sz w:val="24"/>
          <w:szCs w:val="24"/>
        </w:rPr>
        <w:t>.</w:t>
      </w:r>
    </w:p>
    <w:p w14:paraId="5D5BF651">
      <w:pPr>
        <w:spacing w:line="288" w:lineRule="auto"/>
        <w:contextualSpacing/>
        <w:jc w:val="both"/>
        <w:rPr>
          <w:sz w:val="24"/>
          <w:szCs w:val="24"/>
        </w:rPr>
      </w:pPr>
    </w:p>
    <w:p w14:paraId="2C055738">
      <w:pPr>
        <w:spacing w:line="288" w:lineRule="auto"/>
        <w:contextualSpacing/>
        <w:jc w:val="both"/>
        <w:rPr>
          <w:sz w:val="24"/>
          <w:szCs w:val="24"/>
        </w:rPr>
      </w:pPr>
      <w:r>
        <w:rPr>
          <w:sz w:val="24"/>
          <w:szCs w:val="24"/>
        </w:rPr>
        <w:t xml:space="preserve">13.2 O </w:t>
      </w:r>
      <w:r>
        <w:rPr>
          <w:b/>
          <w:bCs/>
          <w:sz w:val="24"/>
          <w:szCs w:val="24"/>
        </w:rPr>
        <w:t>CONTRATADO</w:t>
      </w:r>
      <w:r>
        <w:rPr>
          <w:sz w:val="24"/>
          <w:szCs w:val="24"/>
        </w:rPr>
        <w:t xml:space="preserve"> é obrigado a aceitar, nas mesmas condições contratuais, os acréscimos ou supressões que se fizerem necessários, até o limite de 25% (vinte e cinco por cento) do valor inicial atualizado do Contrato, na forma do art. 125 da Lei nº 14.133/2021.</w:t>
      </w:r>
    </w:p>
    <w:p w14:paraId="63EFD85B">
      <w:pPr>
        <w:spacing w:line="288" w:lineRule="auto"/>
        <w:contextualSpacing/>
        <w:jc w:val="both"/>
        <w:rPr>
          <w:sz w:val="24"/>
          <w:szCs w:val="24"/>
        </w:rPr>
      </w:pPr>
    </w:p>
    <w:p w14:paraId="034C132C">
      <w:pPr>
        <w:spacing w:line="288" w:lineRule="auto"/>
        <w:contextualSpacing/>
        <w:jc w:val="both"/>
        <w:rPr>
          <w:b/>
          <w:bCs/>
          <w:sz w:val="24"/>
          <w:szCs w:val="24"/>
        </w:rPr>
      </w:pPr>
      <w:r>
        <w:rPr>
          <w:sz w:val="24"/>
          <w:szCs w:val="24"/>
        </w:rPr>
        <w:t xml:space="preserve">13.3 As alterações contratuais deverão ser promovidas mediante celebração de termo aditivo, submetido à prévia aprovação da assessoria jurídica do </w:t>
      </w:r>
      <w:r>
        <w:rPr>
          <w:b/>
          <w:bCs/>
          <w:sz w:val="24"/>
          <w:szCs w:val="24"/>
        </w:rPr>
        <w:t>CONTRATANTE</w:t>
      </w:r>
      <w:r>
        <w:rPr>
          <w:sz w:val="24"/>
          <w:szCs w:val="24"/>
        </w:rPr>
        <w:t>.</w:t>
      </w:r>
    </w:p>
    <w:p w14:paraId="188838FB">
      <w:pPr>
        <w:pStyle w:val="101"/>
        <w:spacing w:before="0" w:line="288" w:lineRule="auto"/>
        <w:ind w:left="0" w:firstLine="0"/>
        <w:contextualSpacing/>
        <w:rPr>
          <w:rFonts w:ascii="Times New Roman" w:hAnsi="Times New Roman" w:cs="Times New Roman"/>
          <w:b w:val="0"/>
          <w:bCs w:val="0"/>
          <w:sz w:val="24"/>
          <w:szCs w:val="24"/>
        </w:rPr>
      </w:pPr>
    </w:p>
    <w:p w14:paraId="3CFEBF4A">
      <w:pPr>
        <w:pStyle w:val="101"/>
        <w:spacing w:before="0" w:line="288" w:lineRule="auto"/>
        <w:ind w:left="0" w:firstLine="0"/>
        <w:contextualSpacing/>
        <w:rPr>
          <w:rFonts w:ascii="Times New Roman" w:hAnsi="Times New Roman" w:cs="Times New Roman"/>
          <w:b w:val="0"/>
          <w:bCs w:val="0"/>
          <w:sz w:val="24"/>
          <w:szCs w:val="24"/>
        </w:rPr>
      </w:pPr>
      <w:r>
        <w:rPr>
          <w:rFonts w:ascii="Times New Roman" w:hAnsi="Times New Roman" w:cs="Times New Roman"/>
          <w:b w:val="0"/>
          <w:bCs w:val="0"/>
          <w:sz w:val="24"/>
          <w:szCs w:val="24"/>
        </w:rPr>
        <w:t>13.4</w:t>
      </w:r>
      <w:r>
        <w:rPr>
          <w:rFonts w:ascii="Times New Roman" w:hAnsi="Times New Roman" w:cs="Times New Roman"/>
          <w:sz w:val="24"/>
          <w:szCs w:val="24"/>
        </w:rPr>
        <w:t xml:space="preserve"> </w:t>
      </w:r>
      <w:r>
        <w:rPr>
          <w:rFonts w:ascii="Times New Roman" w:hAnsi="Times New Roman" w:cs="Times New Roman"/>
          <w:b w:val="0"/>
          <w:bCs w:val="0"/>
          <w:sz w:val="24"/>
          <w:szCs w:val="24"/>
        </w:rPr>
        <w:t xml:space="preserve">Registros que não caracterizam alteração do Contrato podem ser realizados por simples apostila, dispensada a celebração de termo aditivo, na forma do </w:t>
      </w:r>
      <w:r>
        <w:fldChar w:fldCharType="begin"/>
      </w:r>
      <w:r>
        <w:instrText xml:space="preserve"> HYPERLINK "http://www.planalto.gov.br/ccivil_03/_ato2019-2022/2021/lei/L14133.htm" \l "art136" </w:instrText>
      </w:r>
      <w:r>
        <w:fldChar w:fldCharType="separate"/>
      </w:r>
      <w:r>
        <w:rPr>
          <w:rStyle w:val="16"/>
          <w:rFonts w:ascii="Times New Roman" w:hAnsi="Times New Roman" w:cs="Times New Roman" w:eastAsiaTheme="minorHAnsi"/>
          <w:b w:val="0"/>
          <w:bCs w:val="0"/>
          <w:sz w:val="24"/>
          <w:szCs w:val="24"/>
        </w:rPr>
        <w:t>art. 136 da Lei nº 14.133/2021</w:t>
      </w:r>
      <w:r>
        <w:rPr>
          <w:rStyle w:val="16"/>
          <w:rFonts w:ascii="Times New Roman" w:hAnsi="Times New Roman" w:cs="Times New Roman" w:eastAsiaTheme="minorHAnsi"/>
          <w:b w:val="0"/>
          <w:bCs w:val="0"/>
          <w:sz w:val="24"/>
          <w:szCs w:val="24"/>
        </w:rPr>
        <w:fldChar w:fldCharType="end"/>
      </w:r>
      <w:r>
        <w:rPr>
          <w:rFonts w:ascii="Times New Roman" w:hAnsi="Times New Roman" w:cs="Times New Roman"/>
          <w:b w:val="0"/>
          <w:bCs w:val="0"/>
          <w:sz w:val="24"/>
          <w:szCs w:val="24"/>
        </w:rPr>
        <w:t>.</w:t>
      </w:r>
    </w:p>
    <w:p w14:paraId="13FD5D04">
      <w:pPr>
        <w:spacing w:line="288" w:lineRule="auto"/>
        <w:contextualSpacing/>
        <w:rPr>
          <w:sz w:val="24"/>
          <w:szCs w:val="24"/>
        </w:rPr>
      </w:pPr>
    </w:p>
    <w:p w14:paraId="79E621D7">
      <w:pPr>
        <w:pStyle w:val="101"/>
        <w:spacing w:before="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CLÁUSULA DÉCIMA QUARTA – DOTAÇÃO ORÇAMENTÁRIA </w:t>
      </w:r>
    </w:p>
    <w:p w14:paraId="0CAD2893">
      <w:pPr>
        <w:spacing w:line="288" w:lineRule="auto"/>
        <w:contextualSpacing/>
        <w:rPr>
          <w:sz w:val="24"/>
          <w:szCs w:val="24"/>
        </w:rPr>
      </w:pPr>
    </w:p>
    <w:p w14:paraId="69FA3F6E">
      <w:pPr>
        <w:pStyle w:val="99"/>
        <w:spacing w:before="0" w:after="0" w:line="288" w:lineRule="auto"/>
        <w:ind w:left="22" w:firstLine="0"/>
        <w:contextualSpacing/>
        <w:rPr>
          <w:rFonts w:ascii="Times New Roman" w:hAnsi="Times New Roman" w:cs="Times New Roman"/>
          <w:sz w:val="24"/>
          <w:szCs w:val="24"/>
        </w:rPr>
      </w:pPr>
      <w:r>
        <w:rPr>
          <w:rFonts w:ascii="Times New Roman" w:hAnsi="Times New Roman" w:cs="Times New Roman"/>
          <w:sz w:val="24"/>
          <w:szCs w:val="24"/>
        </w:rPr>
        <w:t xml:space="preserve">14.1 As despesas com a execução do presente Contrato contratação correrão à conta das seguintes dotações orçamentárias, para o corrente exercício de </w:t>
      </w:r>
      <w:r>
        <w:rPr>
          <w:rFonts w:ascii="Times New Roman" w:hAnsi="Times New Roman" w:cs="Times New Roman"/>
          <w:color w:val="FF0000"/>
          <w:sz w:val="24"/>
          <w:szCs w:val="24"/>
        </w:rPr>
        <w:t>.........</w:t>
      </w:r>
      <w:r>
        <w:rPr>
          <w:rFonts w:ascii="Times New Roman" w:hAnsi="Times New Roman" w:cs="Times New Roman"/>
          <w:sz w:val="24"/>
          <w:szCs w:val="24"/>
        </w:rPr>
        <w:t>, assim classificadas:</w:t>
      </w:r>
    </w:p>
    <w:p w14:paraId="4060495C">
      <w:pPr>
        <w:pStyle w:val="20"/>
        <w:spacing w:line="288" w:lineRule="auto"/>
        <w:contextualSpacing/>
        <w:jc w:val="both"/>
        <w:rPr>
          <w:rFonts w:ascii="Times New Roman" w:hAnsi="Times New Roman" w:cs="Times New Roman"/>
        </w:rPr>
      </w:pPr>
      <w:r>
        <w:rPr>
          <w:rFonts w:ascii="Times New Roman" w:hAnsi="Times New Roman" w:cs="Times New Roman"/>
        </w:rPr>
        <w:t>Natureza da Despesa:</w:t>
      </w:r>
    </w:p>
    <w:p w14:paraId="48EB2590">
      <w:pPr>
        <w:pStyle w:val="20"/>
        <w:spacing w:line="288" w:lineRule="auto"/>
        <w:contextualSpacing/>
        <w:jc w:val="both"/>
        <w:rPr>
          <w:rFonts w:ascii="Times New Roman" w:hAnsi="Times New Roman" w:cs="Times New Roman"/>
        </w:rPr>
      </w:pPr>
      <w:r>
        <w:rPr>
          <w:rFonts w:ascii="Times New Roman" w:hAnsi="Times New Roman" w:cs="Times New Roman"/>
        </w:rPr>
        <w:t>Fonte de Recurso:</w:t>
      </w:r>
    </w:p>
    <w:p w14:paraId="000CE8AC">
      <w:pPr>
        <w:pStyle w:val="20"/>
        <w:spacing w:line="288" w:lineRule="auto"/>
        <w:contextualSpacing/>
        <w:jc w:val="both"/>
        <w:rPr>
          <w:rFonts w:ascii="Times New Roman" w:hAnsi="Times New Roman" w:cs="Times New Roman"/>
        </w:rPr>
      </w:pPr>
      <w:r>
        <w:rPr>
          <w:rFonts w:ascii="Times New Roman" w:hAnsi="Times New Roman" w:cs="Times New Roman"/>
        </w:rPr>
        <w:t>Programa de Trabalho:</w:t>
      </w:r>
    </w:p>
    <w:p w14:paraId="0A46BC6B">
      <w:pPr>
        <w:pStyle w:val="20"/>
        <w:spacing w:line="288" w:lineRule="auto"/>
        <w:contextualSpacing/>
        <w:jc w:val="both"/>
        <w:rPr>
          <w:rFonts w:ascii="Times New Roman" w:hAnsi="Times New Roman" w:cs="Times New Roman"/>
        </w:rPr>
      </w:pPr>
      <w:r>
        <w:rPr>
          <w:rFonts w:ascii="Times New Roman" w:hAnsi="Times New Roman" w:cs="Times New Roman"/>
        </w:rPr>
        <w:t>Nota de Empenho:</w:t>
      </w:r>
    </w:p>
    <w:p w14:paraId="56B7159C">
      <w:pPr>
        <w:pStyle w:val="20"/>
        <w:spacing w:line="288" w:lineRule="auto"/>
        <w:contextualSpacing/>
        <w:jc w:val="both"/>
        <w:rPr>
          <w:rFonts w:ascii="Times New Roman" w:hAnsi="Times New Roman" w:cs="Times New Roman"/>
        </w:rPr>
      </w:pPr>
    </w:p>
    <w:p w14:paraId="48C4E6C5">
      <w:pPr>
        <w:pStyle w:val="20"/>
        <w:spacing w:line="288" w:lineRule="auto"/>
        <w:contextualSpacing/>
        <w:jc w:val="both"/>
        <w:rPr>
          <w:rFonts w:ascii="Times New Roman" w:hAnsi="Times New Roman" w:cs="Times New Roman"/>
        </w:rPr>
      </w:pPr>
      <w:r>
        <w:rPr>
          <w:rFonts w:ascii="Times New Roman" w:hAnsi="Times New Roman" w:cs="Times New Roman"/>
        </w:rPr>
        <w:t xml:space="preserve">14.2 As despesas relativas aos exercícios subsequentes correrão por conta das dotações orçamentárias respectivas, devendo ser empenhadas no início de cada exercício. </w:t>
      </w:r>
    </w:p>
    <w:p w14:paraId="44D5E6D0">
      <w:pPr>
        <w:pStyle w:val="20"/>
        <w:spacing w:line="288" w:lineRule="auto"/>
        <w:contextualSpacing/>
        <w:jc w:val="both"/>
        <w:rPr>
          <w:rFonts w:ascii="Times New Roman" w:hAnsi="Times New Roman" w:cs="Times New Roman"/>
        </w:rPr>
      </w:pPr>
    </w:p>
    <w:p w14:paraId="5D048BD5">
      <w:pPr>
        <w:pStyle w:val="20"/>
        <w:spacing w:line="288" w:lineRule="auto"/>
        <w:contextualSpacing/>
        <w:jc w:val="both"/>
        <w:rPr>
          <w:rFonts w:ascii="Times New Roman" w:hAnsi="Times New Roman" w:cs="Times New Roman"/>
        </w:rPr>
      </w:pPr>
      <w:r>
        <w:rPr>
          <w:rFonts w:ascii="Times New Roman" w:hAnsi="Times New Roman" w:cs="Times New Roman"/>
        </w:rPr>
        <w:t>14.3 No início da contratação e de cada exercício deverá ser atestada a existência de créditos orçamentários vinculados à contratação e, no caso de fornecimento contínuo, a vantagem em sua manutenção, na forma dos arts. 105 e 106 da Lei nº 14.133/2021.</w:t>
      </w:r>
    </w:p>
    <w:p w14:paraId="12755528">
      <w:pPr>
        <w:pStyle w:val="20"/>
        <w:spacing w:line="288" w:lineRule="auto"/>
        <w:contextualSpacing/>
        <w:jc w:val="both"/>
        <w:rPr>
          <w:rFonts w:ascii="Times New Roman" w:hAnsi="Times New Roman" w:cs="Times New Roman"/>
        </w:rPr>
      </w:pPr>
    </w:p>
    <w:p w14:paraId="3A508CCA">
      <w:pPr>
        <w:pStyle w:val="101"/>
        <w:spacing w:before="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CLÁUSULA DÉCIMA QUINTA – DOS CASOS OMISSOS </w:t>
      </w:r>
    </w:p>
    <w:p w14:paraId="3F35F022">
      <w:pPr>
        <w:spacing w:line="288" w:lineRule="auto"/>
        <w:contextualSpacing/>
        <w:rPr>
          <w:sz w:val="24"/>
          <w:szCs w:val="24"/>
        </w:rPr>
      </w:pPr>
    </w:p>
    <w:p w14:paraId="134A1E86">
      <w:pPr>
        <w:pStyle w:val="99"/>
        <w:spacing w:before="0" w:after="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 xml:space="preserve">15.1 Os casos omissos serão decididos pelo </w:t>
      </w:r>
      <w:r>
        <w:rPr>
          <w:rFonts w:ascii="Times New Roman" w:hAnsi="Times New Roman" w:cs="Times New Roman"/>
          <w:b/>
          <w:bCs/>
          <w:color w:val="auto"/>
          <w:sz w:val="24"/>
          <w:szCs w:val="24"/>
        </w:rPr>
        <w:t>CONTRATANTE</w:t>
      </w:r>
      <w:r>
        <w:rPr>
          <w:rFonts w:ascii="Times New Roman" w:hAnsi="Times New Roman" w:cs="Times New Roman"/>
          <w:color w:val="auto"/>
          <w:sz w:val="24"/>
          <w:szCs w:val="24"/>
        </w:rPr>
        <w:t xml:space="preserve">, segundo as disposições contidas na Lei </w:t>
      </w:r>
      <w:r>
        <w:fldChar w:fldCharType="begin"/>
      </w:r>
      <w:r>
        <w:instrText xml:space="preserve"> HYPERLINK "http://www.planalto.gov.br/ccivil_03/_ato2019-2022/2021/lei/L14133.htm" </w:instrText>
      </w:r>
      <w:r>
        <w:fldChar w:fldCharType="separate"/>
      </w:r>
      <w:r>
        <w:rPr>
          <w:rStyle w:val="16"/>
          <w:rFonts w:ascii="Times New Roman" w:hAnsi="Times New Roman" w:cs="Times New Roman" w:eastAsiaTheme="minorHAnsi"/>
          <w:color w:val="auto"/>
          <w:sz w:val="24"/>
          <w:szCs w:val="24"/>
        </w:rPr>
        <w:t>nº 14.133/2021</w:t>
      </w:r>
      <w:r>
        <w:rPr>
          <w:rStyle w:val="16"/>
          <w:rFonts w:ascii="Times New Roman" w:hAnsi="Times New Roman" w:cs="Times New Roman" w:eastAsiaTheme="minorHAnsi"/>
          <w:color w:val="auto"/>
          <w:sz w:val="24"/>
          <w:szCs w:val="24"/>
        </w:rPr>
        <w:fldChar w:fldCharType="end"/>
      </w:r>
      <w:r>
        <w:rPr>
          <w:rFonts w:ascii="Times New Roman" w:hAnsi="Times New Roman" w:cs="Times New Roman"/>
          <w:color w:val="auto"/>
          <w:sz w:val="24"/>
          <w:szCs w:val="24"/>
        </w:rPr>
        <w:t xml:space="preserve">, e demais normas federais e estaduais aplicáveis e, subsidiariamente, segundo as disposições contidas na </w:t>
      </w:r>
      <w:r>
        <w:fldChar w:fldCharType="begin"/>
      </w:r>
      <w:r>
        <w:instrText xml:space="preserve"> HYPERLINK "https://www.planalto.gov.br/ccivil_03/leis/l8078compilado.htm" </w:instrText>
      </w:r>
      <w:r>
        <w:fldChar w:fldCharType="separate"/>
      </w:r>
      <w:r>
        <w:rPr>
          <w:rStyle w:val="16"/>
          <w:rFonts w:ascii="Times New Roman" w:hAnsi="Times New Roman" w:cs="Times New Roman" w:eastAsiaTheme="minorHAnsi"/>
          <w:color w:val="auto"/>
          <w:sz w:val="24"/>
          <w:szCs w:val="24"/>
        </w:rPr>
        <w:t>Lei nº 8.078/1990 – Código de Defesa do Consumidor</w:t>
      </w:r>
      <w:r>
        <w:rPr>
          <w:rStyle w:val="16"/>
          <w:rFonts w:ascii="Times New Roman" w:hAnsi="Times New Roman" w:cs="Times New Roman" w:eastAsiaTheme="minorHAnsi"/>
          <w:color w:val="auto"/>
          <w:sz w:val="24"/>
          <w:szCs w:val="24"/>
        </w:rPr>
        <w:fldChar w:fldCharType="end"/>
      </w:r>
      <w:r>
        <w:rPr>
          <w:rFonts w:ascii="Times New Roman" w:hAnsi="Times New Roman" w:cs="Times New Roman"/>
          <w:color w:val="auto"/>
          <w:sz w:val="24"/>
          <w:szCs w:val="24"/>
        </w:rPr>
        <w:t xml:space="preserve"> – e normas e princípios gerais dos contratos.</w:t>
      </w:r>
    </w:p>
    <w:p w14:paraId="1D81A9D0">
      <w:pPr>
        <w:pStyle w:val="20"/>
        <w:spacing w:line="288" w:lineRule="auto"/>
        <w:contextualSpacing/>
        <w:jc w:val="both"/>
        <w:rPr>
          <w:rFonts w:ascii="Times New Roman" w:hAnsi="Times New Roman" w:cs="Times New Roman"/>
        </w:rPr>
      </w:pPr>
    </w:p>
    <w:p w14:paraId="125C4DB5">
      <w:pPr>
        <w:pStyle w:val="101"/>
        <w:spacing w:before="0" w:line="288" w:lineRule="auto"/>
        <w:ind w:left="36" w:firstLine="0"/>
        <w:contextualSpacing/>
        <w:rPr>
          <w:rFonts w:ascii="Times New Roman" w:hAnsi="Times New Roman" w:cs="Times New Roman"/>
          <w:color w:val="FFFFFF"/>
          <w:sz w:val="24"/>
          <w:szCs w:val="24"/>
        </w:rPr>
      </w:pPr>
      <w:r>
        <w:rPr>
          <w:rFonts w:ascii="Times New Roman" w:hAnsi="Times New Roman" w:cs="Times New Roman"/>
          <w:sz w:val="24"/>
          <w:szCs w:val="24"/>
        </w:rPr>
        <w:t>CLÁUSULA DÉCIMA SEXTA – PUBLICAÇÃO E CONTROLE DO CONTRATO</w:t>
      </w:r>
    </w:p>
    <w:p w14:paraId="7A1DD49E">
      <w:pPr>
        <w:pStyle w:val="99"/>
        <w:spacing w:before="0" w:after="0" w:line="288" w:lineRule="auto"/>
        <w:ind w:left="36" w:firstLine="0"/>
        <w:contextualSpacing/>
        <w:rPr>
          <w:rFonts w:ascii="Times New Roman" w:hAnsi="Times New Roman" w:cs="Times New Roman"/>
          <w:color w:val="auto"/>
          <w:sz w:val="24"/>
          <w:szCs w:val="24"/>
        </w:rPr>
      </w:pPr>
    </w:p>
    <w:p w14:paraId="6572B69E">
      <w:pPr>
        <w:pStyle w:val="99"/>
        <w:spacing w:before="0" w:after="0" w:line="288" w:lineRule="auto"/>
        <w:ind w:left="36"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 xml:space="preserve">16.1 Incumbirá ao </w:t>
      </w:r>
      <w:r>
        <w:rPr>
          <w:rFonts w:ascii="Times New Roman" w:hAnsi="Times New Roman" w:cs="Times New Roman"/>
          <w:b/>
          <w:bCs/>
          <w:color w:val="auto"/>
          <w:sz w:val="24"/>
          <w:szCs w:val="24"/>
        </w:rPr>
        <w:t>CONTRATANTE</w:t>
      </w:r>
      <w:r>
        <w:rPr>
          <w:rFonts w:ascii="Times New Roman" w:hAnsi="Times New Roman" w:cs="Times New Roman"/>
          <w:color w:val="auto"/>
          <w:sz w:val="24"/>
          <w:szCs w:val="24"/>
        </w:rPr>
        <w:t xml:space="preserve"> divulgar o presente instrumento no Portal Nacional de Contratações Públicas (PNCP), na forma prevista no </w:t>
      </w:r>
      <w:r>
        <w:fldChar w:fldCharType="begin"/>
      </w:r>
      <w:r>
        <w:instrText xml:space="preserve"> HYPERLINK "http://www.planalto.gov.br/ccivil_03/_ato2019-2022/2021/lei/L14133.htm" \l "art94" </w:instrText>
      </w:r>
      <w:r>
        <w:fldChar w:fldCharType="separate"/>
      </w:r>
      <w:r>
        <w:rPr>
          <w:rStyle w:val="16"/>
          <w:rFonts w:ascii="Times New Roman" w:hAnsi="Times New Roman" w:cs="Times New Roman" w:eastAsiaTheme="minorHAnsi"/>
          <w:color w:val="auto"/>
          <w:sz w:val="24"/>
          <w:szCs w:val="24"/>
        </w:rPr>
        <w:t>art. 94 da Lei 14.133/2021</w:t>
      </w:r>
      <w:r>
        <w:rPr>
          <w:rStyle w:val="16"/>
          <w:rFonts w:ascii="Times New Roman" w:hAnsi="Times New Roman" w:cs="Times New Roman" w:eastAsiaTheme="minorHAnsi"/>
          <w:color w:val="auto"/>
          <w:sz w:val="24"/>
          <w:szCs w:val="24"/>
        </w:rPr>
        <w:fldChar w:fldCharType="end"/>
      </w:r>
      <w:r>
        <w:rPr>
          <w:rFonts w:ascii="Times New Roman" w:hAnsi="Times New Roman" w:cs="Times New Roman"/>
          <w:color w:val="auto"/>
          <w:sz w:val="24"/>
          <w:szCs w:val="24"/>
        </w:rPr>
        <w:t xml:space="preserve">, bem como no respectivo sítio oficial na Internet, em atenção ao </w:t>
      </w:r>
      <w:r>
        <w:fldChar w:fldCharType="begin"/>
      </w:r>
      <w:r>
        <w:instrText xml:space="preserve"> HYPERLINK "https://www.planalto.gov.br/ccivil_03/_ato2011-2014/2011/lei/l12527.htm" \l "art8§2" </w:instrText>
      </w:r>
      <w:r>
        <w:fldChar w:fldCharType="separate"/>
      </w:r>
      <w:r>
        <w:rPr>
          <w:rStyle w:val="16"/>
          <w:rFonts w:ascii="Times New Roman" w:hAnsi="Times New Roman" w:cs="Times New Roman" w:eastAsiaTheme="minorHAnsi"/>
          <w:color w:val="auto"/>
          <w:sz w:val="24"/>
          <w:szCs w:val="24"/>
        </w:rPr>
        <w:t>art. 8º, §2º, da Lei nº 12.527/2011</w:t>
      </w:r>
      <w:r>
        <w:rPr>
          <w:rStyle w:val="16"/>
          <w:rFonts w:ascii="Times New Roman" w:hAnsi="Times New Roman" w:cs="Times New Roman" w:eastAsiaTheme="minorHAnsi"/>
          <w:color w:val="auto"/>
          <w:sz w:val="24"/>
          <w:szCs w:val="24"/>
        </w:rPr>
        <w:fldChar w:fldCharType="end"/>
      </w:r>
      <w:r>
        <w:rPr>
          <w:rFonts w:ascii="Times New Roman" w:hAnsi="Times New Roman" w:cs="Times New Roman"/>
          <w:sz w:val="24"/>
          <w:szCs w:val="24"/>
        </w:rPr>
        <w:t>, e publicar extrato da contratação no Boletim Oficial do Município.</w:t>
      </w:r>
    </w:p>
    <w:p w14:paraId="7CD4CA19">
      <w:pPr>
        <w:spacing w:line="288" w:lineRule="auto"/>
        <w:contextualSpacing/>
        <w:jc w:val="both"/>
        <w:rPr>
          <w:sz w:val="24"/>
          <w:szCs w:val="24"/>
        </w:rPr>
      </w:pPr>
    </w:p>
    <w:p w14:paraId="0A5A2735">
      <w:pPr>
        <w:spacing w:line="288" w:lineRule="auto"/>
        <w:contextualSpacing/>
        <w:jc w:val="both"/>
        <w:rPr>
          <w:sz w:val="24"/>
          <w:szCs w:val="24"/>
        </w:rPr>
      </w:pPr>
      <w:r>
        <w:rPr>
          <w:sz w:val="24"/>
          <w:szCs w:val="24"/>
        </w:rPr>
        <w:t>16.1.1 A divulgação do Contrato e de seus aditamentos no Portal Nacional de Contratações Públicas – PNCP, condição indispensável para sua eficácia, deverá ocorrer nos prazos estipulados pelo art. 94 da Lei nº 14.133/2021.</w:t>
      </w:r>
    </w:p>
    <w:p w14:paraId="3F9ED520">
      <w:pPr>
        <w:spacing w:line="288" w:lineRule="auto"/>
        <w:contextualSpacing/>
        <w:jc w:val="both"/>
        <w:rPr>
          <w:sz w:val="24"/>
          <w:szCs w:val="24"/>
        </w:rPr>
      </w:pPr>
    </w:p>
    <w:p w14:paraId="4B63014B">
      <w:pPr>
        <w:spacing w:line="288" w:lineRule="auto"/>
        <w:contextualSpacing/>
        <w:jc w:val="both"/>
        <w:rPr>
          <w:sz w:val="24"/>
          <w:szCs w:val="24"/>
        </w:rPr>
      </w:pPr>
      <w:r>
        <w:rPr>
          <w:sz w:val="24"/>
          <w:szCs w:val="24"/>
        </w:rPr>
        <w:t xml:space="preserve">16.2 O </w:t>
      </w:r>
      <w:r>
        <w:rPr>
          <w:b/>
          <w:bCs/>
          <w:sz w:val="24"/>
          <w:szCs w:val="24"/>
        </w:rPr>
        <w:t>CONTRATANTE</w:t>
      </w:r>
      <w:r>
        <w:rPr>
          <w:sz w:val="24"/>
          <w:szCs w:val="24"/>
        </w:rPr>
        <w:t xml:space="preserve"> deverá adotar as providências necessárias para dar conhecimento da contratação, junto ao Tribunal de Contas do Estado.</w:t>
      </w:r>
    </w:p>
    <w:p w14:paraId="30357DD4">
      <w:pPr>
        <w:pStyle w:val="99"/>
        <w:spacing w:before="0" w:after="0" w:line="288" w:lineRule="auto"/>
        <w:ind w:left="36" w:firstLine="0"/>
        <w:contextualSpacing/>
        <w:rPr>
          <w:rFonts w:ascii="Times New Roman" w:hAnsi="Times New Roman" w:cs="Times New Roman"/>
          <w:color w:val="auto"/>
          <w:sz w:val="24"/>
          <w:szCs w:val="24"/>
        </w:rPr>
      </w:pPr>
    </w:p>
    <w:p w14:paraId="0F28F0DB">
      <w:pPr>
        <w:pStyle w:val="101"/>
        <w:spacing w:before="0" w:line="288" w:lineRule="auto"/>
        <w:ind w:left="22" w:firstLine="0"/>
        <w:contextualSpacing/>
        <w:rPr>
          <w:rFonts w:ascii="Times New Roman" w:hAnsi="Times New Roman" w:cs="Times New Roman"/>
          <w:sz w:val="24"/>
          <w:szCs w:val="24"/>
        </w:rPr>
      </w:pPr>
      <w:r>
        <w:rPr>
          <w:rFonts w:ascii="Times New Roman" w:hAnsi="Times New Roman" w:cs="Times New Roman"/>
          <w:sz w:val="24"/>
          <w:szCs w:val="24"/>
        </w:rPr>
        <w:t xml:space="preserve">CLÁUSULA DÉCIMA SÉTIMA – FORO </w:t>
      </w:r>
    </w:p>
    <w:p w14:paraId="30ACB5EF">
      <w:pPr>
        <w:spacing w:line="288" w:lineRule="auto"/>
        <w:contextualSpacing/>
        <w:rPr>
          <w:sz w:val="24"/>
          <w:szCs w:val="24"/>
        </w:rPr>
      </w:pPr>
    </w:p>
    <w:p w14:paraId="6CCC6A63">
      <w:pPr>
        <w:spacing w:line="288" w:lineRule="auto"/>
        <w:contextualSpacing/>
        <w:jc w:val="both"/>
        <w:rPr>
          <w:sz w:val="24"/>
          <w:szCs w:val="24"/>
        </w:rPr>
      </w:pPr>
      <w:r>
        <w:rPr>
          <w:sz w:val="24"/>
          <w:szCs w:val="24"/>
        </w:rPr>
        <w:t xml:space="preserve">17.1 Fica eleito o Foro da Cidade de Valença RJ, para dirimir qualquer litígio decorrente do presente Contrato que não possa ser resolvido por meio amigável, com expressa renúncia a qualquer outro, por mais privilegiado que seja. </w:t>
      </w:r>
    </w:p>
    <w:p w14:paraId="791A4CA0">
      <w:pPr>
        <w:spacing w:line="288" w:lineRule="auto"/>
        <w:contextualSpacing/>
        <w:jc w:val="both"/>
        <w:rPr>
          <w:sz w:val="24"/>
          <w:szCs w:val="24"/>
        </w:rPr>
      </w:pPr>
    </w:p>
    <w:p w14:paraId="00FA8F4A">
      <w:pPr>
        <w:spacing w:line="288" w:lineRule="auto"/>
        <w:contextualSpacing/>
        <w:jc w:val="both"/>
        <w:rPr>
          <w:sz w:val="24"/>
          <w:szCs w:val="24"/>
        </w:rPr>
      </w:pPr>
      <w:r>
        <w:rPr>
          <w:sz w:val="24"/>
          <w:szCs w:val="24"/>
        </w:rPr>
        <w:t>E, por estarem assim acordes em todas as condições e cláusulas estabelecidas neste Contrato, firmam as partes o presente instrumento, depois de achado conforme, em presença das testemunhas abaixo firmadas.</w:t>
      </w:r>
    </w:p>
    <w:p w14:paraId="2757B26C">
      <w:pPr>
        <w:pStyle w:val="99"/>
        <w:spacing w:before="0" w:after="0" w:line="288" w:lineRule="auto"/>
        <w:ind w:left="0" w:firstLine="567"/>
        <w:contextualSpacing/>
        <w:rPr>
          <w:rFonts w:ascii="Times New Roman" w:hAnsi="Times New Roman" w:cs="Times New Roman"/>
          <w:i/>
          <w:iCs/>
          <w:color w:val="FF0000"/>
          <w:sz w:val="24"/>
          <w:szCs w:val="24"/>
        </w:rPr>
      </w:pPr>
    </w:p>
    <w:p w14:paraId="6A6496F9">
      <w:pPr>
        <w:pStyle w:val="99"/>
        <w:spacing w:before="0" w:after="0" w:line="288" w:lineRule="auto"/>
        <w:ind w:left="0" w:firstLine="567"/>
        <w:contextualSpacing/>
        <w:jc w:val="cente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Valença, xx de xxxxxxxxx de 2026.</w:t>
      </w:r>
    </w:p>
    <w:p w14:paraId="3000CD93">
      <w:pPr>
        <w:spacing w:line="288" w:lineRule="auto"/>
        <w:ind w:firstLine="567"/>
        <w:contextualSpacing/>
        <w:jc w:val="center"/>
        <w:rPr>
          <w:bCs/>
          <w:sz w:val="24"/>
          <w:szCs w:val="24"/>
        </w:rPr>
      </w:pPr>
    </w:p>
    <w:p w14:paraId="29DB4CFB">
      <w:pPr>
        <w:spacing w:line="288" w:lineRule="auto"/>
        <w:ind w:firstLine="567"/>
        <w:contextualSpacing/>
        <w:jc w:val="center"/>
        <w:rPr>
          <w:bCs/>
          <w:sz w:val="24"/>
          <w:szCs w:val="24"/>
        </w:rPr>
      </w:pPr>
      <w:r>
        <w:rPr>
          <w:bCs/>
          <w:sz w:val="24"/>
          <w:szCs w:val="24"/>
        </w:rPr>
        <w:t xml:space="preserve"> </w:t>
      </w:r>
    </w:p>
    <w:p w14:paraId="5D250516">
      <w:pPr>
        <w:spacing w:line="288" w:lineRule="auto"/>
        <w:ind w:firstLine="567"/>
        <w:contextualSpacing/>
        <w:jc w:val="center"/>
        <w:rPr>
          <w:bCs/>
          <w:sz w:val="24"/>
          <w:szCs w:val="24"/>
        </w:rPr>
      </w:pPr>
      <w:r>
        <w:rPr>
          <w:bCs/>
          <w:sz w:val="24"/>
          <w:szCs w:val="24"/>
        </w:rPr>
        <w:t>_________________________</w:t>
      </w:r>
    </w:p>
    <w:p w14:paraId="7040F6E7">
      <w:pPr>
        <w:spacing w:line="288" w:lineRule="auto"/>
        <w:ind w:firstLine="567"/>
        <w:contextualSpacing/>
        <w:jc w:val="center"/>
        <w:rPr>
          <w:sz w:val="24"/>
          <w:szCs w:val="24"/>
        </w:rPr>
      </w:pPr>
      <w:r>
        <w:rPr>
          <w:sz w:val="24"/>
          <w:szCs w:val="24"/>
        </w:rPr>
        <w:t>Bernardo Souza Machado</w:t>
      </w:r>
    </w:p>
    <w:p w14:paraId="06E6300B">
      <w:pPr>
        <w:spacing w:line="288" w:lineRule="auto"/>
        <w:ind w:firstLine="567"/>
        <w:contextualSpacing/>
        <w:jc w:val="center"/>
        <w:rPr>
          <w:sz w:val="24"/>
          <w:szCs w:val="24"/>
        </w:rPr>
      </w:pPr>
      <w:r>
        <w:rPr>
          <w:sz w:val="24"/>
          <w:szCs w:val="24"/>
        </w:rPr>
        <w:t xml:space="preserve">Secretário Municipal de Assistência, Esporte e </w:t>
      </w:r>
    </w:p>
    <w:p w14:paraId="074CFAED">
      <w:pPr>
        <w:spacing w:line="288" w:lineRule="auto"/>
        <w:ind w:firstLine="567"/>
        <w:contextualSpacing/>
        <w:jc w:val="center"/>
        <w:rPr>
          <w:bCs/>
          <w:sz w:val="24"/>
          <w:szCs w:val="24"/>
        </w:rPr>
      </w:pPr>
      <w:r>
        <w:rPr>
          <w:sz w:val="24"/>
          <w:szCs w:val="24"/>
        </w:rPr>
        <w:t>Envelhecimento Saudável</w:t>
      </w:r>
    </w:p>
    <w:p w14:paraId="2F430514">
      <w:pPr>
        <w:spacing w:line="288" w:lineRule="auto"/>
        <w:ind w:firstLine="567"/>
        <w:contextualSpacing/>
        <w:jc w:val="center"/>
        <w:rPr>
          <w:bCs/>
          <w:sz w:val="24"/>
          <w:szCs w:val="24"/>
        </w:rPr>
      </w:pPr>
      <w:r>
        <w:rPr>
          <w:bCs/>
          <w:sz w:val="24"/>
          <w:szCs w:val="24"/>
        </w:rPr>
        <w:t>MUNICÍPIO DE VALENÇA</w:t>
      </w:r>
    </w:p>
    <w:p w14:paraId="3926A5D6">
      <w:pPr>
        <w:spacing w:line="288" w:lineRule="auto"/>
        <w:ind w:firstLine="567"/>
        <w:contextualSpacing/>
        <w:jc w:val="center"/>
        <w:rPr>
          <w:bCs/>
          <w:sz w:val="24"/>
          <w:szCs w:val="24"/>
        </w:rPr>
      </w:pPr>
    </w:p>
    <w:p w14:paraId="1AB4C6DB">
      <w:pPr>
        <w:spacing w:line="288" w:lineRule="auto"/>
        <w:ind w:firstLine="567"/>
        <w:contextualSpacing/>
        <w:jc w:val="center"/>
        <w:rPr>
          <w:bCs/>
          <w:sz w:val="24"/>
          <w:szCs w:val="24"/>
        </w:rPr>
      </w:pPr>
    </w:p>
    <w:p w14:paraId="243D774F">
      <w:pPr>
        <w:spacing w:line="288" w:lineRule="auto"/>
        <w:ind w:firstLine="567"/>
        <w:contextualSpacing/>
        <w:jc w:val="center"/>
        <w:rPr>
          <w:sz w:val="24"/>
          <w:szCs w:val="24"/>
        </w:rPr>
      </w:pPr>
      <w:r>
        <w:rPr>
          <w:sz w:val="24"/>
          <w:szCs w:val="24"/>
        </w:rPr>
        <w:t>_________________________</w:t>
      </w:r>
    </w:p>
    <w:p w14:paraId="6516CA91">
      <w:pPr>
        <w:spacing w:line="288" w:lineRule="auto"/>
        <w:ind w:firstLine="567"/>
        <w:contextualSpacing/>
        <w:jc w:val="center"/>
        <w:rPr>
          <w:sz w:val="24"/>
          <w:szCs w:val="24"/>
        </w:rPr>
      </w:pPr>
      <w:r>
        <w:rPr>
          <w:bCs/>
          <w:sz w:val="24"/>
          <w:szCs w:val="24"/>
        </w:rPr>
        <w:t>Representante</w:t>
      </w:r>
      <w:r>
        <w:rPr>
          <w:sz w:val="24"/>
          <w:szCs w:val="24"/>
        </w:rPr>
        <w:t xml:space="preserve"> legal do CONTRATADO</w:t>
      </w:r>
    </w:p>
    <w:p w14:paraId="366617B5">
      <w:pPr>
        <w:spacing w:line="288" w:lineRule="auto"/>
        <w:contextualSpacing/>
        <w:jc w:val="both"/>
        <w:rPr>
          <w:sz w:val="24"/>
          <w:szCs w:val="24"/>
        </w:rPr>
      </w:pPr>
      <w:r>
        <w:rPr>
          <w:sz w:val="24"/>
          <w:szCs w:val="24"/>
        </w:rPr>
        <w:t>TESTEMUNHAS:</w:t>
      </w:r>
    </w:p>
    <w:p w14:paraId="05A85E56">
      <w:pPr>
        <w:spacing w:line="288" w:lineRule="auto"/>
        <w:contextualSpacing/>
        <w:rPr>
          <w:sz w:val="24"/>
          <w:szCs w:val="24"/>
        </w:rPr>
      </w:pPr>
      <w:r>
        <w:rPr>
          <w:sz w:val="24"/>
          <w:szCs w:val="24"/>
        </w:rPr>
        <w:t>1-</w:t>
      </w:r>
    </w:p>
    <w:p w14:paraId="2737CC14">
      <w:pPr>
        <w:spacing w:line="288" w:lineRule="auto"/>
        <w:contextualSpacing/>
        <w:rPr>
          <w:sz w:val="24"/>
          <w:szCs w:val="24"/>
        </w:rPr>
      </w:pPr>
      <w:r>
        <w:rPr>
          <w:sz w:val="24"/>
          <w:szCs w:val="24"/>
        </w:rPr>
        <w:t xml:space="preserve">2- </w:t>
      </w:r>
    </w:p>
    <w:p w14:paraId="229CF602">
      <w:pPr>
        <w:spacing w:line="288" w:lineRule="auto"/>
        <w:contextualSpacing/>
        <w:rPr>
          <w:sz w:val="24"/>
          <w:szCs w:val="24"/>
        </w:rPr>
      </w:pPr>
    </w:p>
    <w:p w14:paraId="7A965CED">
      <w:pPr>
        <w:spacing w:line="288" w:lineRule="auto"/>
        <w:contextualSpacing/>
        <w:rPr>
          <w:sz w:val="24"/>
          <w:szCs w:val="24"/>
        </w:rPr>
      </w:pPr>
    </w:p>
    <w:p w14:paraId="73191FA3">
      <w:pPr>
        <w:spacing w:line="288" w:lineRule="auto"/>
        <w:contextualSpacing/>
        <w:rPr>
          <w:sz w:val="24"/>
          <w:szCs w:val="24"/>
        </w:rPr>
      </w:pPr>
    </w:p>
    <w:p w14:paraId="25DFA3D5">
      <w:pPr>
        <w:ind w:firstLine="142"/>
        <w:rPr>
          <w:sz w:val="24"/>
          <w:szCs w:val="24"/>
        </w:rPr>
      </w:pPr>
    </w:p>
    <w:p w14:paraId="0F9CE059">
      <w:pPr>
        <w:ind w:firstLine="142"/>
        <w:jc w:val="center"/>
        <w:rPr>
          <w:b/>
          <w:bCs/>
          <w:sz w:val="24"/>
          <w:szCs w:val="24"/>
        </w:rPr>
      </w:pPr>
      <w:r>
        <w:rPr>
          <w:b/>
          <w:bCs/>
          <w:sz w:val="24"/>
          <w:szCs w:val="24"/>
        </w:rPr>
        <w:t>ANEXO VIII</w:t>
      </w:r>
    </w:p>
    <w:p w14:paraId="3CDE8879">
      <w:pPr>
        <w:ind w:firstLine="142"/>
        <w:jc w:val="center"/>
        <w:rPr>
          <w:b/>
          <w:bCs/>
          <w:sz w:val="24"/>
          <w:szCs w:val="24"/>
        </w:rPr>
      </w:pPr>
    </w:p>
    <w:p w14:paraId="10577221">
      <w:pPr>
        <w:pStyle w:val="20"/>
        <w:spacing w:line="360" w:lineRule="auto"/>
        <w:ind w:right="-285" w:firstLine="142"/>
        <w:jc w:val="center"/>
        <w:rPr>
          <w:rFonts w:ascii="Times New Roman" w:hAnsi="Times New Roman" w:cs="Times New Roman"/>
          <w:b/>
        </w:rPr>
      </w:pPr>
      <w:r>
        <w:rPr>
          <w:rFonts w:ascii="Times New Roman" w:hAnsi="Times New Roman" w:cs="Times New Roman"/>
          <w:b/>
        </w:rPr>
        <w:t>DECLARAÇÃO DE RESPONSABILIZAÇÃO CIVIL E ADMINISTRATIVA</w:t>
      </w:r>
    </w:p>
    <w:p w14:paraId="05C20D85">
      <w:pPr>
        <w:pStyle w:val="20"/>
        <w:spacing w:line="360" w:lineRule="auto"/>
        <w:ind w:right="-285" w:firstLine="142"/>
        <w:jc w:val="center"/>
        <w:rPr>
          <w:rFonts w:ascii="Times New Roman" w:hAnsi="Times New Roman" w:cs="Times New Roman"/>
        </w:rPr>
      </w:pPr>
    </w:p>
    <w:p w14:paraId="008D5D45">
      <w:pPr>
        <w:pStyle w:val="20"/>
        <w:spacing w:line="360" w:lineRule="auto"/>
        <w:ind w:right="-285" w:firstLine="142"/>
        <w:jc w:val="both"/>
        <w:rPr>
          <w:rFonts w:ascii="Times New Roman" w:hAnsi="Times New Roman" w:cs="Times New Roman"/>
        </w:rPr>
      </w:pPr>
      <w:r>
        <w:rPr>
          <w:rFonts w:ascii="Times New Roman" w:hAnsi="Times New Roman" w:cs="Times New Roman"/>
        </w:rPr>
        <w:t>Para a execução deste instrumento jurídico, as partes declaram conhecer a Lei Federal nº 12.846/2013, se comprometem a atuar de forma ética, íntegra, legal e transparente, e estão cientes de que não poderão oferecer, dar ou se comprometer a dar a quem quer que seja, ou aceitar ou se comprometer a aceitar de quem quer que seja, tanto por conta própria quanto por intermédio de outrem, qualquer pagamento, doação, compensação, vantagens financeiras ou benefícios de qualquer espécie que constituam prática ilegal ou de corrupção, seja de forma direta, indireta ou por meio de subcontratados ou terceiros, quanto ao objeto deste contrato, ou de outra forma a ele não relacionada.</w:t>
      </w:r>
    </w:p>
    <w:p w14:paraId="4A3FCB26">
      <w:pPr>
        <w:pStyle w:val="20"/>
        <w:spacing w:line="360" w:lineRule="auto"/>
        <w:ind w:right="-285" w:firstLine="142"/>
        <w:jc w:val="center"/>
        <w:rPr>
          <w:rFonts w:ascii="Times New Roman" w:hAnsi="Times New Roman" w:cs="Times New Roman"/>
        </w:rPr>
      </w:pPr>
    </w:p>
    <w:p w14:paraId="0C615BA8">
      <w:pPr>
        <w:pStyle w:val="20"/>
        <w:spacing w:line="360" w:lineRule="auto"/>
        <w:ind w:right="-285" w:firstLine="142"/>
        <w:jc w:val="both"/>
        <w:rPr>
          <w:rFonts w:ascii="Times New Roman" w:hAnsi="Times New Roman" w:cs="Times New Roman"/>
        </w:rPr>
      </w:pPr>
      <w:r>
        <w:rPr>
          <w:rFonts w:ascii="Times New Roman" w:hAnsi="Times New Roman" w:cs="Times New Roman"/>
        </w:rPr>
        <w:t>Parágrafo primeiro – A responsabilização da pessoa jurídica subsiste nas hipóteses de alteração contratual, transformação, incorporação, fusão ou cisão societária, ressalvados os atos lesivos ocorridos antes da data da fusão ou incorporação, quando a responsabilidade da sucessora será restrita à obrigação de pagamento de multa e reparação integral do dano causado, até o limite do patrimônio transferido.</w:t>
      </w:r>
    </w:p>
    <w:p w14:paraId="0E05FBB9">
      <w:pPr>
        <w:pStyle w:val="20"/>
        <w:spacing w:line="360" w:lineRule="auto"/>
        <w:ind w:right="-285" w:firstLine="142"/>
        <w:jc w:val="center"/>
        <w:rPr>
          <w:rFonts w:ascii="Times New Roman" w:hAnsi="Times New Roman" w:cs="Times New Roman"/>
        </w:rPr>
      </w:pPr>
    </w:p>
    <w:p w14:paraId="1696AAD2">
      <w:pPr>
        <w:pStyle w:val="20"/>
        <w:spacing w:line="360" w:lineRule="auto"/>
        <w:ind w:right="-285" w:firstLine="142"/>
        <w:jc w:val="both"/>
        <w:rPr>
          <w:rFonts w:ascii="Times New Roman" w:hAnsi="Times New Roman" w:cs="Times New Roman"/>
        </w:rPr>
      </w:pPr>
      <w:r>
        <w:rPr>
          <w:rFonts w:ascii="Times New Roman" w:hAnsi="Times New Roman" w:cs="Times New Roman"/>
        </w:rPr>
        <w:t>Parágrafo segundo – As sociedades controladoras, controladas, coligadas ou, no âmbito do respectivo contrato, as consorciadas serão solidariamente responsáveis pela prática dos atos previstos nesta Lei, restringindo–se tal responsabilidade à obrigação de pagamento de multa e reparação integral do dano causado.</w:t>
      </w:r>
    </w:p>
    <w:p w14:paraId="2D240020">
      <w:pPr>
        <w:pStyle w:val="20"/>
        <w:spacing w:line="360" w:lineRule="auto"/>
        <w:ind w:right="-285" w:firstLine="142"/>
        <w:jc w:val="center"/>
        <w:rPr>
          <w:rFonts w:ascii="Times New Roman" w:hAnsi="Times New Roman" w:cs="Times New Roman"/>
        </w:rPr>
      </w:pPr>
    </w:p>
    <w:p w14:paraId="59258A30">
      <w:pPr>
        <w:pStyle w:val="20"/>
        <w:spacing w:line="360" w:lineRule="auto"/>
        <w:ind w:right="-285" w:firstLine="142"/>
        <w:jc w:val="center"/>
        <w:rPr>
          <w:rFonts w:ascii="Times New Roman" w:hAnsi="Times New Roman" w:cs="Times New Roman"/>
        </w:rPr>
      </w:pPr>
      <w:r>
        <w:rPr>
          <w:rFonts w:ascii="Times New Roman" w:hAnsi="Times New Roman" w:cs="Times New Roman"/>
        </w:rPr>
        <w:t>Valença, _____ de _____________ de _____.</w:t>
      </w:r>
    </w:p>
    <w:p w14:paraId="103346FB">
      <w:pPr>
        <w:pStyle w:val="20"/>
        <w:spacing w:line="360" w:lineRule="auto"/>
        <w:ind w:right="-285" w:firstLine="142"/>
        <w:jc w:val="center"/>
        <w:rPr>
          <w:rFonts w:ascii="Times New Roman" w:hAnsi="Times New Roman" w:cs="Times New Roman"/>
        </w:rPr>
      </w:pPr>
    </w:p>
    <w:p w14:paraId="1A36C21C">
      <w:pPr>
        <w:pStyle w:val="20"/>
        <w:spacing w:line="360" w:lineRule="auto"/>
        <w:ind w:right="-285" w:firstLine="142"/>
        <w:jc w:val="center"/>
        <w:rPr>
          <w:rFonts w:ascii="Times New Roman" w:hAnsi="Times New Roman" w:cs="Times New Roman"/>
        </w:rPr>
      </w:pPr>
      <w:r>
        <w:rPr>
          <w:rFonts w:ascii="Times New Roman" w:hAnsi="Times New Roman" w:cs="Times New Roman"/>
        </w:rPr>
        <w:t>___________________________________________________</w:t>
      </w:r>
    </w:p>
    <w:p w14:paraId="41C1651E">
      <w:pPr>
        <w:pStyle w:val="20"/>
        <w:ind w:right="-284" w:firstLine="142"/>
        <w:jc w:val="center"/>
        <w:rPr>
          <w:rFonts w:ascii="Times New Roman" w:hAnsi="Times New Roman" w:cs="Times New Roman"/>
        </w:rPr>
      </w:pPr>
      <w:r>
        <w:rPr>
          <w:rFonts w:ascii="Times New Roman" w:hAnsi="Times New Roman" w:cs="Times New Roman"/>
        </w:rPr>
        <w:t>AGENTE PÚBLICO</w:t>
      </w:r>
    </w:p>
    <w:p w14:paraId="33510B89">
      <w:pPr>
        <w:pStyle w:val="20"/>
        <w:ind w:right="-284" w:firstLine="142"/>
        <w:jc w:val="center"/>
        <w:rPr>
          <w:rFonts w:ascii="Times New Roman" w:hAnsi="Times New Roman" w:cs="Times New Roman"/>
        </w:rPr>
      </w:pPr>
      <w:r>
        <w:rPr>
          <w:rFonts w:ascii="Times New Roman" w:hAnsi="Times New Roman" w:cs="Times New Roman"/>
        </w:rPr>
        <w:t>(Nome, cargo, matrícula e lotação)</w:t>
      </w:r>
    </w:p>
    <w:p w14:paraId="4734663A">
      <w:pPr>
        <w:pStyle w:val="20"/>
        <w:spacing w:line="360" w:lineRule="auto"/>
        <w:ind w:right="-285" w:firstLine="142"/>
        <w:jc w:val="center"/>
        <w:rPr>
          <w:rFonts w:ascii="Times New Roman" w:hAnsi="Times New Roman" w:cs="Times New Roman"/>
        </w:rPr>
      </w:pPr>
      <w:r>
        <w:rPr>
          <w:rFonts w:ascii="Times New Roman" w:hAnsi="Times New Roman" w:cs="Times New Roman"/>
        </w:rPr>
        <w:t>___________________________________________________</w:t>
      </w:r>
    </w:p>
    <w:p w14:paraId="4042A8A5">
      <w:pPr>
        <w:pStyle w:val="20"/>
        <w:ind w:right="-284" w:firstLine="142"/>
        <w:jc w:val="center"/>
        <w:rPr>
          <w:rFonts w:ascii="Times New Roman" w:hAnsi="Times New Roman" w:cs="Times New Roman"/>
        </w:rPr>
      </w:pPr>
      <w:r>
        <w:rPr>
          <w:rFonts w:ascii="Times New Roman" w:hAnsi="Times New Roman" w:cs="Times New Roman"/>
        </w:rPr>
        <w:t>REPRESENTANTE LEGAL DA EMPRESA</w:t>
      </w:r>
    </w:p>
    <w:p w14:paraId="584C9928">
      <w:pPr>
        <w:pStyle w:val="20"/>
        <w:ind w:right="-284" w:firstLine="142"/>
        <w:jc w:val="center"/>
        <w:rPr>
          <w:rFonts w:ascii="Times New Roman" w:hAnsi="Times New Roman" w:cs="Times New Roman"/>
        </w:rPr>
      </w:pPr>
      <w:r>
        <w:rPr>
          <w:rFonts w:ascii="Times New Roman" w:hAnsi="Times New Roman" w:cs="Times New Roman"/>
        </w:rPr>
        <w:t xml:space="preserve">(Nome, cargo e carimbo da empresa) </w:t>
      </w:r>
    </w:p>
    <w:p w14:paraId="3BC98F69">
      <w:pPr>
        <w:pStyle w:val="20"/>
        <w:spacing w:line="360" w:lineRule="auto"/>
        <w:ind w:firstLine="142"/>
        <w:jc w:val="center"/>
        <w:rPr>
          <w:rFonts w:ascii="Times New Roman" w:hAnsi="Times New Roman" w:cs="Times New Roman"/>
        </w:rPr>
      </w:pPr>
    </w:p>
    <w:p w14:paraId="3E8F8311">
      <w:pPr>
        <w:pStyle w:val="20"/>
        <w:spacing w:line="360" w:lineRule="auto"/>
        <w:ind w:right="-285" w:firstLine="142"/>
        <w:jc w:val="center"/>
        <w:rPr>
          <w:rFonts w:ascii="Times New Roman" w:hAnsi="Times New Roman" w:cs="Times New Roman"/>
          <w:b/>
          <w:color w:val="000000" w:themeColor="text1"/>
          <w14:textFill>
            <w14:solidFill>
              <w14:schemeClr w14:val="tx1"/>
            </w14:solidFill>
          </w14:textFill>
        </w:rPr>
      </w:pPr>
      <w:r>
        <w:rPr>
          <w:rFonts w:ascii="Times New Roman" w:hAnsi="Times New Roman" w:cs="Times New Roman"/>
          <w:b/>
          <w:color w:val="000000" w:themeColor="text1"/>
          <w14:textFill>
            <w14:solidFill>
              <w14:schemeClr w14:val="tx1"/>
            </w14:solidFill>
          </w14:textFill>
        </w:rPr>
        <w:t>DECLARAÇÃO DE INEXISTÊNCIA DE NEPOTISMO</w:t>
      </w:r>
    </w:p>
    <w:p w14:paraId="22A3E770">
      <w:pPr>
        <w:pStyle w:val="20"/>
        <w:spacing w:line="360" w:lineRule="auto"/>
        <w:ind w:right="-285" w:firstLine="142"/>
        <w:jc w:val="center"/>
        <w:rPr>
          <w:rFonts w:ascii="Times New Roman" w:hAnsi="Times New Roman" w:cs="Times New Roman"/>
          <w:color w:val="000000" w:themeColor="text1"/>
          <w14:textFill>
            <w14:solidFill>
              <w14:schemeClr w14:val="tx1"/>
            </w14:solidFill>
          </w14:textFill>
        </w:rPr>
      </w:pPr>
    </w:p>
    <w:p w14:paraId="04F27960">
      <w:pPr>
        <w:pStyle w:val="20"/>
        <w:spacing w:line="360" w:lineRule="auto"/>
        <w:ind w:right="-285" w:firstLine="142"/>
        <w:jc w:val="both"/>
        <w:rPr>
          <w:rFonts w:ascii="Times New Roman" w:hAnsi="Times New Roman" w:cs="Times New Roman"/>
          <w:color w:val="000000" w:themeColor="text1"/>
          <w14:textFill>
            <w14:solidFill>
              <w14:schemeClr w14:val="tx1"/>
            </w14:solidFill>
          </w14:textFill>
        </w:rPr>
      </w:pPr>
    </w:p>
    <w:p w14:paraId="65270880">
      <w:pPr>
        <w:pStyle w:val="20"/>
        <w:spacing w:line="360" w:lineRule="auto"/>
        <w:ind w:right="-285" w:firstLine="142"/>
        <w:jc w:val="both"/>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 xml:space="preserve">Para a execução deste instrumento jurídico, a CONTRATADA, por meio de seu representante, declara não possuir em seu quadro societário cônjuge, companheiro ou parente em linha reta, colateral ou por afinidade até o terceiro grau, inclusive, dos ocupantes de cargos de direção ou no exercício de funções administrativas, assim como os ocupantes de cargos de direção, chefia e assessoramento vinculados direta ou indiretamente aos órgãos na linha hierárquica da área encarregada da contratação. </w:t>
      </w:r>
    </w:p>
    <w:p w14:paraId="257E1249">
      <w:pPr>
        <w:pStyle w:val="20"/>
        <w:spacing w:line="360" w:lineRule="auto"/>
        <w:ind w:right="-285" w:firstLine="142"/>
        <w:jc w:val="both"/>
        <w:rPr>
          <w:rFonts w:ascii="Times New Roman" w:hAnsi="Times New Roman" w:cs="Times New Roman"/>
          <w:color w:val="000000" w:themeColor="text1"/>
          <w14:textFill>
            <w14:solidFill>
              <w14:schemeClr w14:val="tx1"/>
            </w14:solidFill>
          </w14:textFill>
        </w:rPr>
      </w:pPr>
    </w:p>
    <w:p w14:paraId="709030B1">
      <w:pPr>
        <w:pStyle w:val="20"/>
        <w:spacing w:line="360" w:lineRule="auto"/>
        <w:ind w:right="-285" w:firstLine="142"/>
        <w:jc w:val="center"/>
        <w:rPr>
          <w:rFonts w:ascii="Times New Roman" w:hAnsi="Times New Roman" w:cs="Times New Roman"/>
        </w:rPr>
      </w:pPr>
      <w:r>
        <w:rPr>
          <w:rFonts w:ascii="Times New Roman" w:hAnsi="Times New Roman" w:cs="Times New Roman"/>
        </w:rPr>
        <w:t>Valença, _____ de _____________ de _____.</w:t>
      </w:r>
    </w:p>
    <w:p w14:paraId="66A8DCA7">
      <w:pPr>
        <w:pStyle w:val="20"/>
        <w:spacing w:line="360" w:lineRule="auto"/>
        <w:ind w:right="-285" w:firstLine="142"/>
        <w:jc w:val="center"/>
        <w:rPr>
          <w:rFonts w:ascii="Times New Roman" w:hAnsi="Times New Roman" w:cs="Times New Roman"/>
        </w:rPr>
      </w:pPr>
    </w:p>
    <w:p w14:paraId="7725D14D">
      <w:pPr>
        <w:pStyle w:val="20"/>
        <w:spacing w:line="360" w:lineRule="auto"/>
        <w:ind w:right="-285" w:firstLine="142"/>
        <w:jc w:val="center"/>
        <w:rPr>
          <w:rFonts w:ascii="Times New Roman" w:hAnsi="Times New Roman" w:cs="Times New Roman"/>
        </w:rPr>
      </w:pPr>
    </w:p>
    <w:p w14:paraId="00DB60A0">
      <w:pPr>
        <w:pStyle w:val="20"/>
        <w:spacing w:line="360" w:lineRule="auto"/>
        <w:ind w:right="-285" w:firstLine="142"/>
        <w:jc w:val="center"/>
        <w:rPr>
          <w:rFonts w:ascii="Times New Roman" w:hAnsi="Times New Roman" w:cs="Times New Roman"/>
        </w:rPr>
      </w:pPr>
    </w:p>
    <w:p w14:paraId="7B169218">
      <w:pPr>
        <w:pStyle w:val="20"/>
        <w:spacing w:line="360" w:lineRule="auto"/>
        <w:ind w:right="-285" w:firstLine="142"/>
        <w:jc w:val="center"/>
        <w:rPr>
          <w:rFonts w:ascii="Times New Roman" w:hAnsi="Times New Roman" w:cs="Times New Roman"/>
        </w:rPr>
      </w:pPr>
      <w:r>
        <w:rPr>
          <w:rFonts w:ascii="Times New Roman" w:hAnsi="Times New Roman" w:cs="Times New Roman"/>
        </w:rPr>
        <w:t>___________________________________________________</w:t>
      </w:r>
    </w:p>
    <w:p w14:paraId="2BEF96DC">
      <w:pPr>
        <w:pStyle w:val="20"/>
        <w:ind w:right="-284" w:firstLine="142"/>
        <w:jc w:val="center"/>
        <w:rPr>
          <w:rFonts w:ascii="Times New Roman" w:hAnsi="Times New Roman" w:cs="Times New Roman"/>
        </w:rPr>
      </w:pPr>
      <w:r>
        <w:rPr>
          <w:rFonts w:ascii="Times New Roman" w:hAnsi="Times New Roman" w:cs="Times New Roman"/>
        </w:rPr>
        <w:t>CONTRATADA</w:t>
      </w:r>
    </w:p>
    <w:p w14:paraId="217B49C5">
      <w:pPr>
        <w:pStyle w:val="20"/>
        <w:ind w:right="-284" w:firstLine="142"/>
        <w:jc w:val="center"/>
        <w:rPr>
          <w:rFonts w:ascii="Times New Roman" w:hAnsi="Times New Roman" w:cs="Times New Roman"/>
        </w:rPr>
      </w:pPr>
      <w:r>
        <w:rPr>
          <w:rFonts w:ascii="Times New Roman" w:hAnsi="Times New Roman" w:cs="Times New Roman"/>
        </w:rPr>
        <w:t>REPRESENTANTE LEGAL DA EMPRESA</w:t>
      </w:r>
    </w:p>
    <w:p w14:paraId="11C9C7DC">
      <w:pPr>
        <w:pStyle w:val="20"/>
        <w:ind w:right="-284" w:firstLine="142"/>
        <w:jc w:val="center"/>
        <w:rPr>
          <w:rFonts w:ascii="Times New Roman" w:hAnsi="Times New Roman" w:cs="Times New Roman"/>
        </w:rPr>
      </w:pPr>
      <w:r>
        <w:rPr>
          <w:rFonts w:ascii="Times New Roman" w:hAnsi="Times New Roman" w:cs="Times New Roman"/>
        </w:rPr>
        <w:t xml:space="preserve">(Nome, cargo e carimbo da empresa) </w:t>
      </w:r>
    </w:p>
    <w:p w14:paraId="58ECCAA3">
      <w:pPr>
        <w:pStyle w:val="20"/>
        <w:spacing w:line="360" w:lineRule="auto"/>
        <w:ind w:firstLine="142"/>
        <w:jc w:val="both"/>
        <w:rPr>
          <w:rFonts w:ascii="Times New Roman" w:hAnsi="Times New Roman" w:cs="Times New Roman"/>
          <w:color w:val="000000" w:themeColor="text1"/>
          <w14:textFill>
            <w14:solidFill>
              <w14:schemeClr w14:val="tx1"/>
            </w14:solidFill>
          </w14:textFill>
        </w:rPr>
      </w:pPr>
    </w:p>
    <w:p w14:paraId="0F26BE09">
      <w:pPr>
        <w:pStyle w:val="20"/>
        <w:ind w:right="-284" w:firstLine="142"/>
        <w:jc w:val="center"/>
        <w:rPr>
          <w:rFonts w:ascii="Times New Roman" w:hAnsi="Times New Roman" w:cs="Times New Roman"/>
          <w:b/>
          <w:color w:val="000000"/>
        </w:rPr>
      </w:pPr>
    </w:p>
    <w:p w14:paraId="5C552B8C">
      <w:pPr>
        <w:pStyle w:val="20"/>
        <w:ind w:right="-284" w:firstLine="142"/>
        <w:jc w:val="center"/>
        <w:rPr>
          <w:rFonts w:ascii="Times New Roman" w:hAnsi="Times New Roman" w:eastAsia="Times New Roman" w:cs="Times New Roman"/>
          <w:b/>
        </w:rPr>
      </w:pPr>
      <w:r>
        <w:rPr>
          <w:rFonts w:ascii="Times New Roman" w:hAnsi="Times New Roman" w:cs="Times New Roman"/>
          <w:b/>
          <w:color w:val="000000"/>
        </w:rPr>
        <w:t xml:space="preserve">DECLARAÇÃO  REF. </w:t>
      </w:r>
      <w:r>
        <w:rPr>
          <w:rFonts w:ascii="Times New Roman" w:hAnsi="Times New Roman" w:eastAsia="Times New Roman" w:cs="Times New Roman"/>
          <w:b/>
        </w:rPr>
        <w:t>ARTIGO  9º, § 1º, DA LEI FEDERAL Nº 14.133/2021</w:t>
      </w:r>
    </w:p>
    <w:p w14:paraId="4A747040">
      <w:pPr>
        <w:spacing w:line="360" w:lineRule="auto"/>
        <w:ind w:right="-285" w:firstLine="142"/>
        <w:jc w:val="both"/>
        <w:rPr>
          <w:sz w:val="24"/>
          <w:szCs w:val="24"/>
        </w:rPr>
      </w:pPr>
    </w:p>
    <w:p w14:paraId="700331A5">
      <w:pPr>
        <w:spacing w:line="360" w:lineRule="auto"/>
        <w:ind w:right="-285" w:firstLine="142"/>
        <w:jc w:val="both"/>
        <w:rPr>
          <w:sz w:val="24"/>
          <w:szCs w:val="24"/>
        </w:rPr>
      </w:pPr>
      <w:r>
        <w:rPr>
          <w:sz w:val="24"/>
          <w:szCs w:val="24"/>
        </w:rPr>
        <w:t>(em papel timbrado da empresa)</w:t>
      </w:r>
    </w:p>
    <w:p w14:paraId="45948472">
      <w:pPr>
        <w:spacing w:line="360" w:lineRule="auto"/>
        <w:ind w:right="-285" w:firstLine="142"/>
        <w:jc w:val="both"/>
        <w:rPr>
          <w:sz w:val="24"/>
          <w:szCs w:val="24"/>
        </w:rPr>
      </w:pPr>
    </w:p>
    <w:p w14:paraId="6DA9ECD7">
      <w:pPr>
        <w:spacing w:line="360" w:lineRule="auto"/>
        <w:ind w:right="-285" w:firstLine="142"/>
        <w:jc w:val="both"/>
        <w:rPr>
          <w:sz w:val="24"/>
          <w:szCs w:val="24"/>
        </w:rPr>
      </w:pPr>
      <w:r>
        <w:rPr>
          <w:i/>
          <w:sz w:val="24"/>
          <w:szCs w:val="24"/>
        </w:rPr>
        <w:t>[denominação/razão social da sociedade empresarial]</w:t>
      </w:r>
    </w:p>
    <w:p w14:paraId="2AEFF5BC">
      <w:pPr>
        <w:tabs>
          <w:tab w:val="left" w:pos="5980"/>
        </w:tabs>
        <w:spacing w:line="360" w:lineRule="auto"/>
        <w:ind w:right="-285" w:firstLine="142"/>
        <w:jc w:val="both"/>
        <w:rPr>
          <w:sz w:val="24"/>
          <w:szCs w:val="24"/>
        </w:rPr>
      </w:pPr>
      <w:r>
        <w:rPr>
          <w:sz w:val="24"/>
          <w:szCs w:val="24"/>
        </w:rPr>
        <w:t>Cadastro Nacional de Pessoas Jurídicas – CNPJ n°____________.</w:t>
      </w:r>
    </w:p>
    <w:p w14:paraId="52B2EA10">
      <w:pPr>
        <w:spacing w:line="360" w:lineRule="auto"/>
        <w:ind w:right="-285" w:firstLine="142"/>
        <w:jc w:val="both"/>
        <w:rPr>
          <w:i/>
          <w:sz w:val="24"/>
          <w:szCs w:val="24"/>
        </w:rPr>
      </w:pPr>
      <w:r>
        <w:rPr>
          <w:i/>
          <w:sz w:val="24"/>
          <w:szCs w:val="24"/>
        </w:rPr>
        <w:t>[endereço da sociedade empresarial]</w:t>
      </w:r>
    </w:p>
    <w:p w14:paraId="34CA4D91">
      <w:pPr>
        <w:spacing w:line="360" w:lineRule="auto"/>
        <w:ind w:right="-285" w:firstLine="142"/>
        <w:jc w:val="both"/>
        <w:rPr>
          <w:sz w:val="24"/>
          <w:szCs w:val="24"/>
        </w:rPr>
      </w:pPr>
    </w:p>
    <w:p w14:paraId="500E80C7">
      <w:pPr>
        <w:spacing w:line="360" w:lineRule="auto"/>
        <w:ind w:right="-285" w:firstLine="142"/>
        <w:jc w:val="both"/>
        <w:rPr>
          <w:sz w:val="24"/>
          <w:szCs w:val="24"/>
        </w:rPr>
      </w:pPr>
      <w:r>
        <w:rPr>
          <w:sz w:val="24"/>
          <w:szCs w:val="24"/>
        </w:rPr>
        <w:t>DECLARAMOS, sob as penalidades cabíveis, que não participam dos nossos quadros funcionais, profissional que tenha ocupado cargo integrante dos 1º e 2º escalões da Administração Direta ou Indireta do Município, nos últimos 12 (doze) meses.</w:t>
      </w:r>
    </w:p>
    <w:p w14:paraId="576F289C">
      <w:pPr>
        <w:spacing w:line="360" w:lineRule="auto"/>
        <w:ind w:right="-285" w:firstLine="142"/>
        <w:jc w:val="both"/>
        <w:rPr>
          <w:sz w:val="24"/>
          <w:szCs w:val="24"/>
        </w:rPr>
      </w:pPr>
      <w:r>
        <w:rPr>
          <w:sz w:val="24"/>
          <w:szCs w:val="24"/>
        </w:rPr>
        <w:t>DECLARAMOS, de igual turno, sob as penalidades cabíveis, que não dispomos em nosso quadro societário de nenhum familiar de agente público vinculado direta ou indiretamente a unidades administrativas na linha hierárquica daquela encarregada da contratação, independentemente da modalidade adotada.</w:t>
      </w:r>
    </w:p>
    <w:p w14:paraId="5E75CC1A">
      <w:pPr>
        <w:spacing w:line="360" w:lineRule="auto"/>
        <w:ind w:right="-285" w:firstLine="142"/>
        <w:jc w:val="both"/>
        <w:rPr>
          <w:sz w:val="24"/>
          <w:szCs w:val="24"/>
        </w:rPr>
      </w:pPr>
      <w:r>
        <w:rPr>
          <w:sz w:val="24"/>
          <w:szCs w:val="24"/>
        </w:rPr>
        <w:t>DECLARAMOS, ainda, que não participam de nossos quadros funcionais agente público de órgão ou entidade licitante ou contratante, observadas as situações que possam configurar conflito de interesses no exercício ou após o exercício do cargo ou emprego, nos termos da legislação que disciplina a matéria.</w:t>
      </w:r>
    </w:p>
    <w:p w14:paraId="6823DCB5">
      <w:pPr>
        <w:spacing w:line="360" w:lineRule="auto"/>
        <w:ind w:right="-285" w:firstLine="142"/>
        <w:jc w:val="center"/>
        <w:rPr>
          <w:sz w:val="24"/>
          <w:szCs w:val="24"/>
        </w:rPr>
      </w:pPr>
      <w:r>
        <w:rPr>
          <w:sz w:val="24"/>
          <w:szCs w:val="24"/>
        </w:rPr>
        <w:t>Valença, _____ de ___________________de _______.</w:t>
      </w:r>
    </w:p>
    <w:p w14:paraId="42D6EEBC">
      <w:pPr>
        <w:spacing w:line="360" w:lineRule="auto"/>
        <w:ind w:right="-285" w:firstLine="142"/>
        <w:jc w:val="center"/>
        <w:rPr>
          <w:sz w:val="24"/>
          <w:szCs w:val="24"/>
        </w:rPr>
      </w:pPr>
      <w:r>
        <w:rPr>
          <w:sz w:val="24"/>
          <w:szCs w:val="24"/>
        </w:rPr>
        <w:t>_____________________________________________________</w:t>
      </w:r>
    </w:p>
    <w:p w14:paraId="4A917A1D">
      <w:pPr>
        <w:pStyle w:val="20"/>
        <w:ind w:right="-284" w:firstLine="142"/>
        <w:jc w:val="center"/>
        <w:rPr>
          <w:rFonts w:ascii="Times New Roman" w:hAnsi="Times New Roman" w:cs="Times New Roman"/>
        </w:rPr>
      </w:pPr>
      <w:r>
        <w:rPr>
          <w:rFonts w:ascii="Times New Roman" w:hAnsi="Times New Roman" w:cs="Times New Roman"/>
        </w:rPr>
        <w:t>CONTRATADA</w:t>
      </w:r>
    </w:p>
    <w:p w14:paraId="4A067FE1">
      <w:pPr>
        <w:pStyle w:val="20"/>
        <w:ind w:right="-284" w:firstLine="142"/>
        <w:jc w:val="center"/>
        <w:rPr>
          <w:rFonts w:ascii="Times New Roman" w:hAnsi="Times New Roman" w:cs="Times New Roman"/>
        </w:rPr>
      </w:pPr>
      <w:r>
        <w:rPr>
          <w:rFonts w:ascii="Times New Roman" w:hAnsi="Times New Roman" w:cs="Times New Roman"/>
        </w:rPr>
        <w:t>REPRESENTANTE LEGAL DA EMPRESA</w:t>
      </w:r>
    </w:p>
    <w:p w14:paraId="7664B04E">
      <w:pPr>
        <w:pStyle w:val="20"/>
        <w:ind w:right="-284" w:firstLine="142"/>
        <w:jc w:val="center"/>
        <w:rPr>
          <w:rFonts w:ascii="Times New Roman" w:hAnsi="Times New Roman" w:cs="Times New Roman"/>
        </w:rPr>
      </w:pPr>
      <w:r>
        <w:rPr>
          <w:rFonts w:ascii="Times New Roman" w:hAnsi="Times New Roman" w:cs="Times New Roman"/>
        </w:rPr>
        <w:t>(Nome, cargo e carimbo da empresa)</w:t>
      </w:r>
    </w:p>
    <w:p w14:paraId="0FCC8AD0">
      <w:pPr>
        <w:pStyle w:val="20"/>
        <w:ind w:right="-284" w:firstLine="142"/>
        <w:jc w:val="center"/>
        <w:rPr>
          <w:rFonts w:ascii="Times New Roman" w:hAnsi="Times New Roman" w:cs="Times New Roman"/>
          <w:b/>
        </w:rPr>
      </w:pPr>
    </w:p>
    <w:p w14:paraId="1E106320">
      <w:pPr>
        <w:pStyle w:val="20"/>
        <w:ind w:right="-284" w:firstLine="142"/>
        <w:jc w:val="center"/>
        <w:rPr>
          <w:rFonts w:ascii="Times New Roman" w:hAnsi="Times New Roman" w:cs="Times New Roman"/>
          <w:b/>
        </w:rPr>
      </w:pPr>
    </w:p>
    <w:p w14:paraId="75B78442">
      <w:pPr>
        <w:pStyle w:val="20"/>
        <w:ind w:right="-284" w:firstLine="142"/>
        <w:jc w:val="center"/>
        <w:rPr>
          <w:rFonts w:ascii="Times New Roman" w:hAnsi="Times New Roman" w:cs="Times New Roman"/>
          <w:b/>
        </w:rPr>
      </w:pPr>
    </w:p>
    <w:p w14:paraId="1C59DCAD">
      <w:pPr>
        <w:pStyle w:val="20"/>
        <w:ind w:right="-284" w:firstLine="142"/>
        <w:jc w:val="center"/>
        <w:rPr>
          <w:rFonts w:ascii="Times New Roman" w:hAnsi="Times New Roman" w:cs="Times New Roman"/>
          <w:b/>
        </w:rPr>
      </w:pPr>
    </w:p>
    <w:p w14:paraId="3E73A6B3">
      <w:pPr>
        <w:pStyle w:val="20"/>
        <w:ind w:right="-284" w:firstLine="142"/>
        <w:jc w:val="center"/>
        <w:rPr>
          <w:rFonts w:ascii="Times New Roman" w:hAnsi="Times New Roman" w:cs="Times New Roman"/>
          <w:b/>
        </w:rPr>
      </w:pPr>
      <w:r>
        <w:rPr>
          <w:rFonts w:ascii="Times New Roman" w:hAnsi="Times New Roman" w:cs="Times New Roman"/>
          <w:b/>
        </w:rPr>
        <w:t>DECLARAÇÃO REF. AO ARTIGO 68, DA LEI FEDERAL Nº 14.133/2021</w:t>
      </w:r>
    </w:p>
    <w:p w14:paraId="75CEF04C">
      <w:pPr>
        <w:pStyle w:val="70"/>
        <w:rPr>
          <w:rFonts w:ascii="Times New Roman" w:hAnsi="Times New Roman" w:cs="Times New Roman"/>
        </w:rPr>
      </w:pPr>
    </w:p>
    <w:p w14:paraId="1EE59A8F">
      <w:pPr>
        <w:pStyle w:val="70"/>
        <w:rPr>
          <w:rFonts w:ascii="Times New Roman" w:hAnsi="Times New Roman" w:cs="Times New Roman"/>
        </w:rPr>
      </w:pPr>
      <w:r>
        <w:rPr>
          <w:rFonts w:ascii="Times New Roman" w:hAnsi="Times New Roman" w:cs="Times New Roman"/>
        </w:rPr>
        <w:t>(em papel timbrado da empresa)</w:t>
      </w:r>
    </w:p>
    <w:p w14:paraId="696718AB">
      <w:pPr>
        <w:pStyle w:val="70"/>
        <w:rPr>
          <w:rFonts w:ascii="Times New Roman" w:hAnsi="Times New Roman" w:cs="Times New Roman"/>
        </w:rPr>
      </w:pPr>
    </w:p>
    <w:p w14:paraId="332A4538">
      <w:pPr>
        <w:pStyle w:val="70"/>
        <w:rPr>
          <w:rFonts w:ascii="Times New Roman" w:hAnsi="Times New Roman" w:cs="Times New Roman"/>
        </w:rPr>
      </w:pPr>
    </w:p>
    <w:p w14:paraId="77AE3ACD">
      <w:pPr>
        <w:pStyle w:val="70"/>
        <w:rPr>
          <w:rFonts w:ascii="Times New Roman" w:hAnsi="Times New Roman" w:cs="Times New Roman"/>
        </w:rPr>
      </w:pPr>
      <w:r>
        <w:rPr>
          <w:rFonts w:ascii="Times New Roman" w:hAnsi="Times New Roman" w:cs="Times New Roman"/>
        </w:rPr>
        <w:t>____________________________________ [</w:t>
      </w:r>
      <w:r>
        <w:rPr>
          <w:rFonts w:ascii="Times New Roman" w:hAnsi="Times New Roman" w:cs="Times New Roman"/>
          <w:i/>
        </w:rPr>
        <w:t>órgão ou entidade licitante</w:t>
      </w:r>
      <w:r>
        <w:rPr>
          <w:rFonts w:ascii="Times New Roman" w:hAnsi="Times New Roman" w:cs="Times New Roman"/>
        </w:rPr>
        <w:t>] Ref. Licitação n° ___/____ ________________________________________ [</w:t>
      </w:r>
      <w:r>
        <w:rPr>
          <w:rFonts w:ascii="Times New Roman" w:hAnsi="Times New Roman" w:cs="Times New Roman"/>
          <w:i/>
        </w:rPr>
        <w:t>denominação/razão social da sociedade empresarial</w:t>
      </w:r>
      <w:r>
        <w:rPr>
          <w:rFonts w:ascii="Times New Roman" w:hAnsi="Times New Roman" w:cs="Times New Roman"/>
        </w:rPr>
        <w:t>], inscrita no Cadastro Nacional de Pessoas Jurídicas – CNPJ sob o n° __________________, por intermédio do seu(sua) representante legal o(a) Sr.(a) ________________________________________, portador(a) da carteira de identidade n° _____________ e inscrito(a) no Cadastro de Pessoas Físicas – CPF sob o n° ___________________, DECLARA, para fins do disposto no inciso VI, do art. 68, da Lei Federal n° 14.133/2021, que não emprega menor de dezoito anos em trabalho noturno, perigoso ou insalubre e não emprega menor de dezesseis anos.</w:t>
      </w:r>
    </w:p>
    <w:p w14:paraId="7212B2EC">
      <w:pPr>
        <w:pStyle w:val="70"/>
        <w:rPr>
          <w:rFonts w:ascii="Times New Roman" w:hAnsi="Times New Roman" w:cs="Times New Roman"/>
        </w:rPr>
      </w:pPr>
    </w:p>
    <w:p w14:paraId="5266E9AA">
      <w:pPr>
        <w:pStyle w:val="70"/>
        <w:rPr>
          <w:rFonts w:ascii="Times New Roman" w:hAnsi="Times New Roman" w:cs="Times New Roman"/>
        </w:rPr>
      </w:pPr>
      <w:r>
        <w:rPr>
          <w:rFonts w:ascii="Times New Roman" w:hAnsi="Times New Roman" w:cs="Times New Roman"/>
        </w:rPr>
        <w:t>Ressalva: (  ) Emprega menor, a partir de quatorze anos, na condição de aprendiz.</w:t>
      </w:r>
    </w:p>
    <w:p w14:paraId="511F082E">
      <w:pPr>
        <w:pStyle w:val="70"/>
        <w:rPr>
          <w:rFonts w:ascii="Times New Roman" w:hAnsi="Times New Roman" w:cs="Times New Roman"/>
        </w:rPr>
      </w:pPr>
    </w:p>
    <w:p w14:paraId="2E89BC5B">
      <w:pPr>
        <w:pStyle w:val="70"/>
        <w:rPr>
          <w:rFonts w:ascii="Times New Roman" w:hAnsi="Times New Roman" w:cs="Times New Roman"/>
        </w:rPr>
      </w:pPr>
    </w:p>
    <w:p w14:paraId="750BBB42">
      <w:pPr>
        <w:pStyle w:val="70"/>
        <w:rPr>
          <w:rFonts w:ascii="Times New Roman" w:hAnsi="Times New Roman" w:cs="Times New Roman"/>
        </w:rPr>
      </w:pPr>
    </w:p>
    <w:p w14:paraId="5E1BC8C3">
      <w:pPr>
        <w:pStyle w:val="20"/>
        <w:ind w:right="-284" w:firstLine="142"/>
        <w:jc w:val="center"/>
        <w:rPr>
          <w:rFonts w:ascii="Times New Roman" w:hAnsi="Times New Roman" w:cs="Times New Roman"/>
        </w:rPr>
      </w:pPr>
      <w:r>
        <w:rPr>
          <w:rFonts w:ascii="Times New Roman" w:hAnsi="Times New Roman" w:cs="Times New Roman"/>
        </w:rPr>
        <w:t>Valença, ______de ____________de _____.</w:t>
      </w:r>
    </w:p>
    <w:p w14:paraId="6AF1CF5B">
      <w:pPr>
        <w:pStyle w:val="20"/>
        <w:ind w:right="-284" w:firstLine="142"/>
        <w:jc w:val="center"/>
        <w:rPr>
          <w:rFonts w:ascii="Times New Roman" w:hAnsi="Times New Roman" w:cs="Times New Roman"/>
        </w:rPr>
      </w:pPr>
    </w:p>
    <w:p w14:paraId="59ACD330">
      <w:pPr>
        <w:pStyle w:val="20"/>
        <w:ind w:right="-284" w:firstLine="142"/>
        <w:jc w:val="center"/>
        <w:rPr>
          <w:rFonts w:ascii="Times New Roman" w:hAnsi="Times New Roman" w:cs="Times New Roman"/>
        </w:rPr>
      </w:pPr>
    </w:p>
    <w:p w14:paraId="562EBF76">
      <w:pPr>
        <w:pStyle w:val="20"/>
        <w:spacing w:after="120"/>
        <w:ind w:right="-284" w:firstLine="142"/>
        <w:jc w:val="center"/>
        <w:rPr>
          <w:rFonts w:ascii="Times New Roman" w:hAnsi="Times New Roman" w:cs="Times New Roman"/>
        </w:rPr>
      </w:pPr>
      <w:r>
        <w:rPr>
          <w:rFonts w:ascii="Times New Roman" w:hAnsi="Times New Roman" w:cs="Times New Roman"/>
        </w:rPr>
        <w:t>_______________________________________________</w:t>
      </w:r>
    </w:p>
    <w:p w14:paraId="5A7408B4">
      <w:pPr>
        <w:pStyle w:val="20"/>
        <w:ind w:right="-284" w:firstLine="142"/>
        <w:jc w:val="center"/>
        <w:rPr>
          <w:rFonts w:ascii="Times New Roman" w:hAnsi="Times New Roman" w:cs="Times New Roman"/>
        </w:rPr>
      </w:pPr>
      <w:r>
        <w:rPr>
          <w:rFonts w:ascii="Times New Roman" w:hAnsi="Times New Roman" w:cs="Times New Roman"/>
        </w:rPr>
        <w:t>CONTRATADA</w:t>
      </w:r>
    </w:p>
    <w:p w14:paraId="307EBE61">
      <w:pPr>
        <w:pStyle w:val="20"/>
        <w:ind w:right="-284" w:firstLine="142"/>
        <w:jc w:val="center"/>
        <w:rPr>
          <w:rFonts w:ascii="Times New Roman" w:hAnsi="Times New Roman" w:cs="Times New Roman"/>
        </w:rPr>
      </w:pPr>
      <w:r>
        <w:rPr>
          <w:rFonts w:ascii="Times New Roman" w:hAnsi="Times New Roman" w:cs="Times New Roman"/>
        </w:rPr>
        <w:t>REPRESENTANTE LEGAL DA EMPRESA</w:t>
      </w:r>
    </w:p>
    <w:p w14:paraId="095A52AD">
      <w:pPr>
        <w:pStyle w:val="20"/>
        <w:ind w:right="-284" w:firstLine="142"/>
        <w:jc w:val="center"/>
        <w:rPr>
          <w:rFonts w:ascii="Times New Roman" w:hAnsi="Times New Roman" w:cs="Times New Roman"/>
        </w:rPr>
      </w:pPr>
      <w:r>
        <w:rPr>
          <w:rFonts w:ascii="Times New Roman" w:hAnsi="Times New Roman" w:cs="Times New Roman"/>
        </w:rPr>
        <w:t>(Nome, cargo e carimbo da empresa)</w:t>
      </w:r>
    </w:p>
    <w:p w14:paraId="5B64A75D">
      <w:pPr>
        <w:pStyle w:val="20"/>
        <w:spacing w:line="360" w:lineRule="auto"/>
        <w:ind w:right="-285" w:firstLine="142"/>
        <w:jc w:val="center"/>
        <w:rPr>
          <w:rFonts w:ascii="Times New Roman" w:hAnsi="Times New Roman" w:cs="Times New Roman"/>
          <w:b/>
        </w:rPr>
      </w:pPr>
    </w:p>
    <w:p w14:paraId="3F7586E8">
      <w:pPr>
        <w:pStyle w:val="20"/>
        <w:spacing w:line="360" w:lineRule="auto"/>
        <w:ind w:right="-285" w:firstLine="142"/>
        <w:jc w:val="center"/>
        <w:rPr>
          <w:rFonts w:ascii="Times New Roman" w:hAnsi="Times New Roman" w:cs="Times New Roman"/>
          <w:b/>
        </w:rPr>
      </w:pPr>
    </w:p>
    <w:p w14:paraId="1AC5503E">
      <w:pPr>
        <w:spacing w:line="360" w:lineRule="auto"/>
        <w:ind w:right="-285" w:firstLine="142"/>
        <w:jc w:val="center"/>
        <w:rPr>
          <w:b/>
          <w:sz w:val="24"/>
          <w:szCs w:val="24"/>
        </w:rPr>
      </w:pPr>
      <w:r>
        <w:rPr>
          <w:b/>
          <w:sz w:val="24"/>
          <w:szCs w:val="24"/>
        </w:rPr>
        <w:t>DECLARAÇÃO PARA FINS DE HABILITAÇÃO ECONÔMICO–FINANCEIRA –ART. 63, § 1º, DA LEI FEDERAL Nº 14.133/2021</w:t>
      </w:r>
    </w:p>
    <w:p w14:paraId="1EA42BD3">
      <w:pPr>
        <w:pStyle w:val="70"/>
        <w:rPr>
          <w:rFonts w:ascii="Times New Roman" w:hAnsi="Times New Roman" w:cs="Times New Roman"/>
        </w:rPr>
      </w:pPr>
    </w:p>
    <w:p w14:paraId="1B31F434">
      <w:pPr>
        <w:spacing w:line="360" w:lineRule="auto"/>
        <w:ind w:right="-285" w:firstLine="142"/>
        <w:jc w:val="both"/>
        <w:rPr>
          <w:sz w:val="24"/>
          <w:szCs w:val="24"/>
        </w:rPr>
      </w:pPr>
      <w:r>
        <w:rPr>
          <w:sz w:val="24"/>
          <w:szCs w:val="24"/>
        </w:rPr>
        <w:t>(em papel timbrado da empresa)</w:t>
      </w:r>
    </w:p>
    <w:p w14:paraId="66722B5B">
      <w:pPr>
        <w:spacing w:line="360" w:lineRule="auto"/>
        <w:ind w:right="-285" w:firstLine="142"/>
        <w:jc w:val="both"/>
        <w:rPr>
          <w:sz w:val="24"/>
          <w:szCs w:val="24"/>
        </w:rPr>
      </w:pPr>
    </w:p>
    <w:p w14:paraId="44F6324D">
      <w:pPr>
        <w:spacing w:line="360" w:lineRule="auto"/>
        <w:ind w:right="-285" w:firstLine="142"/>
        <w:jc w:val="both"/>
        <w:rPr>
          <w:sz w:val="24"/>
          <w:szCs w:val="24"/>
        </w:rPr>
      </w:pPr>
      <w:r>
        <w:rPr>
          <w:i/>
          <w:sz w:val="24"/>
          <w:szCs w:val="24"/>
        </w:rPr>
        <w:t>[denominação/razão social da sociedade empresarial]</w:t>
      </w:r>
    </w:p>
    <w:p w14:paraId="33F4918F">
      <w:pPr>
        <w:tabs>
          <w:tab w:val="left" w:pos="5980"/>
        </w:tabs>
        <w:spacing w:line="360" w:lineRule="auto"/>
        <w:ind w:right="-285" w:firstLine="142"/>
        <w:jc w:val="both"/>
        <w:rPr>
          <w:sz w:val="24"/>
          <w:szCs w:val="24"/>
        </w:rPr>
      </w:pPr>
      <w:r>
        <w:rPr>
          <w:sz w:val="24"/>
          <w:szCs w:val="24"/>
        </w:rPr>
        <w:t>Cadastro Nacional de Pessoas Jurídicas – CNPJ n°____________.</w:t>
      </w:r>
    </w:p>
    <w:p w14:paraId="4880EFC5">
      <w:pPr>
        <w:spacing w:line="360" w:lineRule="auto"/>
        <w:ind w:right="-285" w:firstLine="142"/>
        <w:jc w:val="both"/>
        <w:rPr>
          <w:i/>
          <w:sz w:val="24"/>
          <w:szCs w:val="24"/>
        </w:rPr>
      </w:pPr>
      <w:r>
        <w:rPr>
          <w:i/>
          <w:sz w:val="24"/>
          <w:szCs w:val="24"/>
        </w:rPr>
        <w:t>[endereço da sociedade empresarial]</w:t>
      </w:r>
    </w:p>
    <w:p w14:paraId="157B23B9">
      <w:pPr>
        <w:spacing w:line="360" w:lineRule="auto"/>
        <w:ind w:right="-285" w:firstLine="142"/>
        <w:jc w:val="both"/>
        <w:rPr>
          <w:sz w:val="24"/>
          <w:szCs w:val="24"/>
        </w:rPr>
      </w:pPr>
    </w:p>
    <w:p w14:paraId="30162ACD">
      <w:pPr>
        <w:spacing w:line="360" w:lineRule="auto"/>
        <w:ind w:right="-285" w:firstLine="142"/>
        <w:jc w:val="both"/>
        <w:rPr>
          <w:sz w:val="24"/>
          <w:szCs w:val="24"/>
        </w:rPr>
      </w:pPr>
      <w:r>
        <w:rPr>
          <w:sz w:val="24"/>
          <w:szCs w:val="24"/>
        </w:rPr>
        <w:t>Considerando o disposto no § 1º do art. 63 da Lei Federal nº 14.133/2021, DECLARAMOS, sob pena de desclassificação, que nossa proposta econômica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5D74D5F5">
      <w:pPr>
        <w:spacing w:line="360" w:lineRule="auto"/>
        <w:ind w:right="-285" w:firstLine="142"/>
        <w:jc w:val="both"/>
        <w:rPr>
          <w:sz w:val="24"/>
          <w:szCs w:val="24"/>
        </w:rPr>
      </w:pPr>
    </w:p>
    <w:p w14:paraId="66410FE3">
      <w:pPr>
        <w:spacing w:line="360" w:lineRule="auto"/>
        <w:ind w:right="-285" w:firstLine="142"/>
        <w:jc w:val="center"/>
        <w:rPr>
          <w:sz w:val="24"/>
          <w:szCs w:val="24"/>
        </w:rPr>
      </w:pPr>
      <w:r>
        <w:rPr>
          <w:sz w:val="24"/>
          <w:szCs w:val="24"/>
        </w:rPr>
        <w:t>Valença, _____ de ___________________de _______.</w:t>
      </w:r>
    </w:p>
    <w:p w14:paraId="690B6947">
      <w:pPr>
        <w:spacing w:line="360" w:lineRule="auto"/>
        <w:ind w:right="-285" w:firstLine="142"/>
        <w:jc w:val="both"/>
        <w:rPr>
          <w:sz w:val="24"/>
          <w:szCs w:val="24"/>
        </w:rPr>
      </w:pPr>
    </w:p>
    <w:p w14:paraId="75D2C59F">
      <w:pPr>
        <w:ind w:right="-284" w:firstLine="142"/>
        <w:jc w:val="center"/>
        <w:rPr>
          <w:sz w:val="24"/>
          <w:szCs w:val="24"/>
        </w:rPr>
      </w:pPr>
      <w:r>
        <w:rPr>
          <w:sz w:val="24"/>
          <w:szCs w:val="24"/>
        </w:rPr>
        <w:t>______________________________________________________</w:t>
      </w:r>
    </w:p>
    <w:p w14:paraId="31F45621">
      <w:pPr>
        <w:pStyle w:val="20"/>
        <w:ind w:right="-284" w:firstLine="142"/>
        <w:jc w:val="center"/>
        <w:rPr>
          <w:rFonts w:ascii="Times New Roman" w:hAnsi="Times New Roman" w:cs="Times New Roman"/>
        </w:rPr>
      </w:pPr>
      <w:r>
        <w:rPr>
          <w:rFonts w:ascii="Times New Roman" w:hAnsi="Times New Roman" w:cs="Times New Roman"/>
        </w:rPr>
        <w:t>CONTRATADA</w:t>
      </w:r>
    </w:p>
    <w:p w14:paraId="05990316">
      <w:pPr>
        <w:pStyle w:val="20"/>
        <w:ind w:right="-284" w:firstLine="142"/>
        <w:jc w:val="center"/>
        <w:rPr>
          <w:rFonts w:ascii="Times New Roman" w:hAnsi="Times New Roman" w:cs="Times New Roman"/>
        </w:rPr>
      </w:pPr>
      <w:r>
        <w:rPr>
          <w:rFonts w:ascii="Times New Roman" w:hAnsi="Times New Roman" w:cs="Times New Roman"/>
        </w:rPr>
        <w:t>REPRESENTANTE LEGAL DA EMPRESA</w:t>
      </w:r>
    </w:p>
    <w:p w14:paraId="5A182753">
      <w:pPr>
        <w:pStyle w:val="20"/>
        <w:ind w:right="-284" w:firstLine="142"/>
        <w:jc w:val="center"/>
        <w:rPr>
          <w:rFonts w:ascii="Times New Roman" w:hAnsi="Times New Roman" w:cs="Times New Roman"/>
        </w:rPr>
      </w:pPr>
      <w:r>
        <w:rPr>
          <w:rFonts w:ascii="Times New Roman" w:hAnsi="Times New Roman" w:cs="Times New Roman"/>
        </w:rPr>
        <w:t>(Nome, cargo e carimbo da empresa)</w:t>
      </w:r>
    </w:p>
    <w:p w14:paraId="6BA98E2A">
      <w:pPr>
        <w:pStyle w:val="70"/>
        <w:rPr>
          <w:rFonts w:ascii="Times New Roman" w:hAnsi="Times New Roman" w:cs="Times New Roman"/>
        </w:rPr>
      </w:pPr>
    </w:p>
    <w:p w14:paraId="62BFDA7D">
      <w:pPr>
        <w:pStyle w:val="70"/>
        <w:rPr>
          <w:rFonts w:ascii="Times New Roman" w:hAnsi="Times New Roman" w:cs="Times New Roman"/>
        </w:rPr>
      </w:pPr>
    </w:p>
    <w:p w14:paraId="4AAFC1E4">
      <w:pPr>
        <w:pStyle w:val="70"/>
        <w:ind w:left="0"/>
        <w:rPr>
          <w:rFonts w:ascii="Times New Roman" w:hAnsi="Times New Roman" w:cs="Times New Roman"/>
        </w:rPr>
      </w:pPr>
    </w:p>
    <w:p w14:paraId="53AE23C4">
      <w:pPr>
        <w:spacing w:line="360" w:lineRule="auto"/>
        <w:ind w:right="-285" w:firstLine="142"/>
        <w:jc w:val="center"/>
        <w:rPr>
          <w:sz w:val="24"/>
          <w:szCs w:val="24"/>
        </w:rPr>
      </w:pPr>
      <w:r>
        <w:rPr>
          <w:b/>
          <w:bCs/>
          <w:sz w:val="24"/>
          <w:szCs w:val="24"/>
        </w:rPr>
        <w:t>DECLARAÇÃO DE CUMPRIMENTO DE RESERVA DE CARGOS DO ART. 63, IV, DA LEI FEDERAL Nº 14.133/2021</w:t>
      </w:r>
    </w:p>
    <w:p w14:paraId="5A9EEB2C">
      <w:pPr>
        <w:spacing w:line="360" w:lineRule="auto"/>
        <w:ind w:right="-285" w:firstLine="142"/>
        <w:jc w:val="both"/>
        <w:rPr>
          <w:sz w:val="24"/>
          <w:szCs w:val="24"/>
        </w:rPr>
      </w:pPr>
      <w:r>
        <w:rPr>
          <w:sz w:val="24"/>
          <w:szCs w:val="24"/>
        </w:rPr>
        <w:t>(em papel timbrado da empresa)</w:t>
      </w:r>
    </w:p>
    <w:p w14:paraId="1DB0D014">
      <w:pPr>
        <w:spacing w:line="360" w:lineRule="auto"/>
        <w:ind w:right="-285" w:firstLine="142"/>
        <w:jc w:val="both"/>
        <w:rPr>
          <w:sz w:val="24"/>
          <w:szCs w:val="24"/>
        </w:rPr>
      </w:pPr>
    </w:p>
    <w:p w14:paraId="232B419F">
      <w:pPr>
        <w:spacing w:line="360" w:lineRule="auto"/>
        <w:ind w:right="-285" w:firstLine="142"/>
        <w:jc w:val="both"/>
        <w:rPr>
          <w:sz w:val="24"/>
          <w:szCs w:val="24"/>
        </w:rPr>
      </w:pPr>
      <w:r>
        <w:rPr>
          <w:i/>
          <w:sz w:val="24"/>
          <w:szCs w:val="24"/>
        </w:rPr>
        <w:t>[denominação/razão social da sociedade empresarial]</w:t>
      </w:r>
    </w:p>
    <w:p w14:paraId="4D8126A2">
      <w:pPr>
        <w:tabs>
          <w:tab w:val="left" w:pos="5980"/>
        </w:tabs>
        <w:spacing w:line="360" w:lineRule="auto"/>
        <w:ind w:right="-285" w:firstLine="142"/>
        <w:jc w:val="both"/>
        <w:rPr>
          <w:sz w:val="24"/>
          <w:szCs w:val="24"/>
        </w:rPr>
      </w:pPr>
      <w:r>
        <w:rPr>
          <w:sz w:val="24"/>
          <w:szCs w:val="24"/>
        </w:rPr>
        <w:t>Cadastro Nacional de Pessoas Jurídicas – CNPJ n°____________.</w:t>
      </w:r>
    </w:p>
    <w:p w14:paraId="6EB405B1">
      <w:pPr>
        <w:spacing w:line="360" w:lineRule="auto"/>
        <w:ind w:right="-285" w:firstLine="142"/>
        <w:jc w:val="both"/>
        <w:rPr>
          <w:i/>
          <w:sz w:val="24"/>
          <w:szCs w:val="24"/>
        </w:rPr>
      </w:pPr>
      <w:r>
        <w:rPr>
          <w:i/>
          <w:sz w:val="24"/>
          <w:szCs w:val="24"/>
        </w:rPr>
        <w:t>[endereço da sociedade empresarial]</w:t>
      </w:r>
    </w:p>
    <w:p w14:paraId="0B4B4646">
      <w:pPr>
        <w:spacing w:line="360" w:lineRule="auto"/>
        <w:ind w:right="-285" w:firstLine="142"/>
        <w:jc w:val="both"/>
        <w:rPr>
          <w:sz w:val="24"/>
          <w:szCs w:val="24"/>
        </w:rPr>
      </w:pPr>
    </w:p>
    <w:p w14:paraId="61D39F5A">
      <w:pPr>
        <w:spacing w:line="360" w:lineRule="auto"/>
        <w:ind w:right="-285" w:firstLine="142"/>
        <w:jc w:val="both"/>
        <w:rPr>
          <w:sz w:val="24"/>
          <w:szCs w:val="24"/>
        </w:rPr>
      </w:pPr>
      <w:r>
        <w:rPr>
          <w:sz w:val="24"/>
          <w:szCs w:val="24"/>
        </w:rPr>
        <w:t>Considerando o disposto no inciso IV do art. 63 da Lei Federal nº 14.133/2021, DECLARAMOS que cumprimos as exigências de reserva de cargos para pessoa com deficiência e para reabilitado da Previdência Social, previstas em lei e em outras normas específicas.</w:t>
      </w:r>
    </w:p>
    <w:p w14:paraId="0E953B2E">
      <w:pPr>
        <w:spacing w:line="360" w:lineRule="auto"/>
        <w:ind w:right="-285" w:firstLine="142"/>
        <w:jc w:val="both"/>
        <w:rPr>
          <w:sz w:val="24"/>
          <w:szCs w:val="24"/>
        </w:rPr>
      </w:pPr>
    </w:p>
    <w:p w14:paraId="0E0C1461">
      <w:pPr>
        <w:spacing w:line="360" w:lineRule="auto"/>
        <w:ind w:right="-285" w:firstLine="142"/>
        <w:jc w:val="center"/>
        <w:rPr>
          <w:sz w:val="24"/>
          <w:szCs w:val="24"/>
        </w:rPr>
      </w:pPr>
      <w:r>
        <w:rPr>
          <w:sz w:val="24"/>
          <w:szCs w:val="24"/>
        </w:rPr>
        <w:t>Valença, _____ de ___________________de _______.</w:t>
      </w:r>
    </w:p>
    <w:p w14:paraId="0076775A">
      <w:pPr>
        <w:spacing w:line="360" w:lineRule="auto"/>
        <w:ind w:right="-285" w:firstLine="142"/>
        <w:jc w:val="both"/>
        <w:rPr>
          <w:sz w:val="24"/>
          <w:szCs w:val="24"/>
        </w:rPr>
      </w:pPr>
    </w:p>
    <w:p w14:paraId="5BCD6E51">
      <w:pPr>
        <w:ind w:right="-284" w:firstLine="142"/>
        <w:jc w:val="center"/>
        <w:rPr>
          <w:sz w:val="24"/>
          <w:szCs w:val="24"/>
        </w:rPr>
      </w:pPr>
      <w:r>
        <w:rPr>
          <w:sz w:val="24"/>
          <w:szCs w:val="24"/>
        </w:rPr>
        <w:t>______________________________________________________</w:t>
      </w:r>
    </w:p>
    <w:p w14:paraId="730E0339">
      <w:pPr>
        <w:pStyle w:val="20"/>
        <w:ind w:right="-284" w:firstLine="142"/>
        <w:jc w:val="center"/>
        <w:rPr>
          <w:rFonts w:ascii="Times New Roman" w:hAnsi="Times New Roman" w:cs="Times New Roman"/>
        </w:rPr>
      </w:pPr>
      <w:r>
        <w:rPr>
          <w:rFonts w:ascii="Times New Roman" w:hAnsi="Times New Roman" w:cs="Times New Roman"/>
        </w:rPr>
        <w:t>CONTRATADA</w:t>
      </w:r>
    </w:p>
    <w:p w14:paraId="7B9E994A">
      <w:pPr>
        <w:pStyle w:val="20"/>
        <w:ind w:right="-284" w:firstLine="142"/>
        <w:jc w:val="center"/>
        <w:rPr>
          <w:rFonts w:ascii="Times New Roman" w:hAnsi="Times New Roman" w:cs="Times New Roman"/>
        </w:rPr>
      </w:pPr>
      <w:r>
        <w:rPr>
          <w:rFonts w:ascii="Times New Roman" w:hAnsi="Times New Roman" w:cs="Times New Roman"/>
        </w:rPr>
        <w:t>REPRESENTANTE LEGAL DA EMPRESA</w:t>
      </w:r>
    </w:p>
    <w:p w14:paraId="0E6BA831">
      <w:pPr>
        <w:pStyle w:val="20"/>
        <w:ind w:right="-284" w:firstLine="142"/>
        <w:jc w:val="center"/>
        <w:rPr>
          <w:rFonts w:ascii="Times New Roman" w:hAnsi="Times New Roman" w:cs="Times New Roman"/>
        </w:rPr>
      </w:pPr>
      <w:r>
        <w:rPr>
          <w:rFonts w:ascii="Times New Roman" w:hAnsi="Times New Roman" w:cs="Times New Roman"/>
        </w:rPr>
        <w:t>(Nome, cargo e carimbo da empresa)</w:t>
      </w:r>
    </w:p>
    <w:p w14:paraId="53202077">
      <w:pPr>
        <w:spacing w:line="360" w:lineRule="auto"/>
        <w:jc w:val="center"/>
        <w:rPr>
          <w:b/>
          <w:bCs/>
          <w:color w:val="FF0000"/>
          <w:u w:val="single"/>
        </w:rPr>
      </w:pPr>
    </w:p>
    <w:p w14:paraId="128A45B5">
      <w:pPr>
        <w:spacing w:line="288" w:lineRule="auto"/>
        <w:contextualSpacing/>
        <w:jc w:val="center"/>
        <w:rPr>
          <w:rFonts w:eastAsia="Calibri"/>
          <w:b/>
          <w:bCs/>
          <w:lang w:eastAsia="en-US"/>
        </w:rPr>
      </w:pPr>
    </w:p>
    <w:p w14:paraId="5DA0E760">
      <w:pPr>
        <w:ind w:right="-285" w:firstLine="142"/>
        <w:rPr>
          <w:rFonts w:asciiTheme="minorHAnsi" w:hAnsiTheme="minorHAnsi" w:cstheme="minorHAnsi"/>
          <w:sz w:val="24"/>
          <w:szCs w:val="24"/>
        </w:rPr>
      </w:pPr>
    </w:p>
    <w:sectPr>
      <w:headerReference r:id="rId3" w:type="default"/>
      <w:footerReference r:id="rId4" w:type="default"/>
      <w:pgSz w:w="11900" w:h="16820"/>
      <w:pgMar w:top="314" w:right="1580" w:bottom="566" w:left="1552" w:header="0" w:footer="490" w:gutter="0"/>
      <w:pgNumType w:start="1"/>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SimHei">
    <w:altName w:val="SimSun"/>
    <w:panose1 w:val="02010609060101010101"/>
    <w:charset w:val="86"/>
    <w:family w:val="modern"/>
    <w:pitch w:val="default"/>
    <w:sig w:usb0="800002BF" w:usb1="38CF7CFA" w:usb2="00000016" w:usb3="00000000" w:csb0="00040001"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Mangal">
    <w:altName w:val="Segoe Print"/>
    <w:panose1 w:val="00000400000000000000"/>
    <w:charset w:val="00"/>
    <w:family w:val="auto"/>
    <w:pitch w:val="default"/>
    <w:sig w:usb0="00000000" w:usb1="00000000" w:usb2="00000000" w:usb3="00000000" w:csb0="00000000" w:csb1="00000000"/>
  </w:font>
  <w:font w:name="Liberation Serif">
    <w:altName w:val="Times New Roman"/>
    <w:panose1 w:val="00000000000000000000"/>
    <w:charset w:val="00"/>
    <w:family w:val="auto"/>
    <w:pitch w:val="default"/>
    <w:sig w:usb0="00000000" w:usb1="00000000" w:usb2="00000000" w:usb3="00000000" w:csb0="00000000" w:csb1="00000000"/>
  </w:font>
  <w:font w:name="Consolas">
    <w:panose1 w:val="020B0609020204030204"/>
    <w:charset w:val="00"/>
    <w:family w:val="modern"/>
    <w:pitch w:val="default"/>
    <w:sig w:usb0="E00006FF" w:usb1="0000FCFF" w:usb2="00000001" w:usb3="00000000" w:csb0="6000019F" w:csb1="DFD70000"/>
  </w:font>
  <w:font w:name="Segoe UI">
    <w:panose1 w:val="020B0502040204020203"/>
    <w:charset w:val="00"/>
    <w:family w:val="swiss"/>
    <w:pitch w:val="default"/>
    <w:sig w:usb0="E4002EFF" w:usb1="C000E47F" w:usb2="00000009" w:usb3="00000000" w:csb0="200001FF" w:csb1="00000000"/>
  </w:font>
  <w:font w:name="Georgia">
    <w:panose1 w:val="02040502050405020303"/>
    <w:charset w:val="00"/>
    <w:family w:val="roman"/>
    <w:pitch w:val="default"/>
    <w:sig w:usb0="00000287" w:usb1="00000000" w:usb2="00000000" w:usb3="00000000" w:csb0="2000009F" w:csb1="00000000"/>
  </w:font>
  <w:font w:name="Century Gothic">
    <w:panose1 w:val="020B0502020202020204"/>
    <w:charset w:val="00"/>
    <w:family w:val="swiss"/>
    <w:pitch w:val="default"/>
    <w:sig w:usb0="00000287" w:usb1="00000000" w:usb2="00000000" w:usb3="00000000" w:csb0="2000009F" w:csb1="DFD70000"/>
  </w:font>
  <w:font w:name="Cambria Math">
    <w:panose1 w:val="02040503050406030204"/>
    <w:charset w:val="00"/>
    <w:family w:val="roman"/>
    <w:pitch w:val="default"/>
    <w:sig w:usb0="E00006FF" w:usb1="420024FF" w:usb2="02000000" w:usb3="00000000" w:csb0="2000019F" w:csb1="00000000"/>
  </w:font>
  <w:font w:name="Minion Pro">
    <w:altName w:val="Cambria"/>
    <w:panose1 w:val="00000000000000000000"/>
    <w:charset w:val="00"/>
    <w:family w:val="roman"/>
    <w:pitch w:val="default"/>
    <w:sig w:usb0="00000000" w:usb1="00000000" w:usb2="00000000" w:usb3="00000000" w:csb0="00000001" w:csb1="0000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8000012" w:usb3="00000000" w:csb0="0002009F" w:csb1="00000000"/>
  </w:font>
  <w:font w:name="ＭＳ 明朝">
    <w:altName w:val="Segoe Print"/>
    <w:panose1 w:val="00000000000000000000"/>
    <w:charset w:val="00"/>
    <w:family w:val="auto"/>
    <w:pitch w:val="default"/>
    <w:sig w:usb0="00000000" w:usb1="00000000" w:usb2="00000000" w:usb3="00000000" w:csb0="00000000" w:csb1="00000000"/>
  </w:font>
  <w:font w:name="Ecofont_Spranq_eco_Sans">
    <w:altName w:val="Calibri"/>
    <w:panose1 w:val="00000000000000000000"/>
    <w:charset w:val="00"/>
    <w:family w:val="swiss"/>
    <w:pitch w:val="default"/>
    <w:sig w:usb0="00000000" w:usb1="00000000" w:usb2="00000000" w:usb3="00000000" w:csb0="00000001" w:csb1="00000000"/>
  </w:font>
  <w:font w:name="Arial Unicode MS">
    <w:altName w:val="Arial"/>
    <w:panose1 w:val="020B0604020202020204"/>
    <w:charset w:val="80"/>
    <w:family w:val="swiss"/>
    <w:pitch w:val="default"/>
    <w:sig w:usb0="00000000" w:usb1="00000000" w:usb2="0000003F" w:usb3="00000000" w:csb0="003F01FF" w:csb1="00000000"/>
  </w:font>
  <w:font w:name="WenQuanYi Micro Hei">
    <w:altName w:val="Segoe Print"/>
    <w:panose1 w:val="00000000000000000000"/>
    <w:charset w:val="00"/>
    <w:family w:val="roma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Lohit Hindi">
    <w:altName w:val="Times New Roman"/>
    <w:panose1 w:val="00000000000000000000"/>
    <w:charset w:val="00"/>
    <w:family w:val="roman"/>
    <w:pitch w:val="default"/>
    <w:sig w:usb0="00000000" w:usb1="00000000" w:usb2="00000000" w:usb3="00000000" w:csb0="00000000" w:csb1="00000000"/>
  </w:font>
  <w:font w:name="Liberation Sans">
    <w:altName w:val="Segoe Print"/>
    <w:panose1 w:val="00000000000000000000"/>
    <w:charset w:val="00"/>
    <w:family w:val="auto"/>
    <w:pitch w:val="default"/>
    <w:sig w:usb0="00000000" w:usb1="00000000" w:usb2="00000000" w:usb3="00000000" w:csb0="00000000" w:csb1="00000000"/>
  </w:font>
  <w:font w:name="Microsoft YaHei">
    <w:panose1 w:val="020B0503020204020204"/>
    <w:charset w:val="86"/>
    <w:family w:val="swiss"/>
    <w:pitch w:val="default"/>
    <w:sig w:usb0="80000287" w:usb1="2ACF3C50" w:usb2="00000016" w:usb3="00000000" w:csb0="0004001F" w:csb1="00000000"/>
  </w:font>
  <w:font w:name="OpenSymbol">
    <w:altName w:val="Calibri"/>
    <w:panose1 w:val="00000000000000000000"/>
    <w:charset w:val="00"/>
    <w:family w:val="auto"/>
    <w:pitch w:val="default"/>
    <w:sig w:usb0="00000000" w:usb1="00000000" w:usb2="00000000" w:usb3="00000000" w:csb0="00000000" w:csb1="00000000"/>
  </w:font>
  <w:font w:name="Aptos">
    <w:altName w:val="Segoe UI"/>
    <w:panose1 w:val="00000000000000000000"/>
    <w:charset w:val="00"/>
    <w:family w:val="auto"/>
    <w:pitch w:val="default"/>
    <w:sig w:usb0="00000000" w:usb1="00000000" w:usb2="00000000" w:usb3="00000000" w:csb0="2000019F" w:csb1="00000000"/>
  </w:font>
  <w:font w:name="Zurich BT">
    <w:altName w:val="Segoe Print"/>
    <w:panose1 w:val="00000000000000000000"/>
    <w:charset w:val="00"/>
    <w:family w:val="roman"/>
    <w:pitch w:val="default"/>
    <w:sig w:usb0="00000000" w:usb1="00000000" w:usb2="00000000" w:usb3="00000000" w:csb0="00000000" w:csb1="00000000"/>
  </w:font>
  <w:font w:name="Book Antiqua">
    <w:panose1 w:val="02040602050305030304"/>
    <w:charset w:val="00"/>
    <w:family w:val="roman"/>
    <w:pitch w:val="default"/>
    <w:sig w:usb0="00000287" w:usb1="00000000" w:usb2="00000000" w:usb3="00000000" w:csb0="2000009F" w:csb1="DFD7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611ECF">
    <w:pPr>
      <w:tabs>
        <w:tab w:val="center" w:pos="4252"/>
        <w:tab w:val="right" w:pos="8504"/>
      </w:tabs>
      <w:jc w:val="right"/>
      <w:rPr>
        <w:color w:val="000000"/>
      </w:rPr>
    </w:pPr>
    <w:r>
      <w:rPr>
        <w:color w:val="000000"/>
      </w:rPr>
      <w:fldChar w:fldCharType="begin"/>
    </w:r>
    <w:r>
      <w:rPr>
        <w:color w:val="000000"/>
      </w:rPr>
      <w:instrText xml:space="preserve">PAGE</w:instrText>
    </w:r>
    <w:r>
      <w:rPr>
        <w:color w:val="000000"/>
      </w:rPr>
      <w:fldChar w:fldCharType="separate"/>
    </w:r>
    <w:r>
      <w:rPr>
        <w:color w:val="000000"/>
      </w:rPr>
      <w:t>21</w:t>
    </w:r>
    <w:r>
      <w:rPr>
        <w:color w:val="000000"/>
      </w:rPr>
      <w:fldChar w:fldCharType="end"/>
    </w:r>
  </w:p>
  <w:p w14:paraId="71E7CF60">
    <w:pPr>
      <w:tabs>
        <w:tab w:val="center" w:pos="4252"/>
        <w:tab w:val="right" w:pos="8504"/>
      </w:tabs>
      <w:rPr>
        <w:color w:val="000000"/>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829831">
    <w:pPr>
      <w:pStyle w:val="27"/>
      <w:tabs>
        <w:tab w:val="center" w:pos="2127"/>
      </w:tabs>
      <w:rPr>
        <w:rFonts w:ascii="Book Antiqua" w:hAnsi="Book Antiqua"/>
        <w:b/>
        <w:sz w:val="28"/>
        <w:szCs w:val="28"/>
      </w:rPr>
    </w:pPr>
  </w:p>
  <w:p w14:paraId="6002D546">
    <w:pPr>
      <w:pStyle w:val="27"/>
      <w:tabs>
        <w:tab w:val="center" w:pos="2127"/>
      </w:tabs>
      <w:rPr>
        <w:rFonts w:ascii="Book Antiqua" w:hAnsi="Book Antiqua"/>
        <w:b/>
        <w:sz w:val="28"/>
        <w:szCs w:val="28"/>
      </w:rPr>
    </w:pPr>
  </w:p>
  <w:p w14:paraId="6BD75E03">
    <w:pPr>
      <w:pStyle w:val="27"/>
      <w:tabs>
        <w:tab w:val="center" w:pos="2127"/>
      </w:tabs>
      <w:rPr>
        <w:rFonts w:ascii="Book Antiqua" w:hAnsi="Book Antiqua"/>
        <w:b/>
        <w:sz w:val="28"/>
        <w:szCs w:val="28"/>
      </w:rPr>
    </w:pPr>
    <w:r>
      <w:drawing>
        <wp:anchor distT="0" distB="0" distL="114300" distR="114300" simplePos="0" relativeHeight="251660288" behindDoc="1" locked="0" layoutInCell="1" allowOverlap="1">
          <wp:simplePos x="0" y="0"/>
          <wp:positionH relativeFrom="rightMargin">
            <wp:posOffset>-5745480</wp:posOffset>
          </wp:positionH>
          <wp:positionV relativeFrom="paragraph">
            <wp:posOffset>10160</wp:posOffset>
          </wp:positionV>
          <wp:extent cx="705485" cy="812165"/>
          <wp:effectExtent l="0" t="0" r="0" b="6985"/>
          <wp:wrapSquare wrapText="bothSides"/>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m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705485" cy="812165"/>
                  </a:xfrm>
                  <a:prstGeom prst="rect">
                    <a:avLst/>
                  </a:prstGeom>
                  <a:noFill/>
                </pic:spPr>
              </pic:pic>
            </a:graphicData>
          </a:graphic>
        </wp:anchor>
      </w:drawing>
    </w:r>
  </w:p>
  <w:p w14:paraId="403E8789">
    <w:pPr>
      <w:pStyle w:val="27"/>
      <w:tabs>
        <w:tab w:val="center" w:pos="2127"/>
      </w:tabs>
      <w:jc w:val="center"/>
      <w:rPr>
        <w:rFonts w:ascii="Book Antiqua" w:hAnsi="Book Antiqua"/>
        <w:b/>
        <w:sz w:val="28"/>
        <w:szCs w:val="28"/>
      </w:rPr>
    </w:pPr>
    <w:r>
      <w:rPr>
        <w:rFonts w:ascii="Book Antiqua" w:hAnsi="Book Antiqua"/>
        <w:b/>
        <w:sz w:val="28"/>
        <w:szCs w:val="28"/>
      </w:rPr>
      <w:t>ESTADO DO RIO DE JANEIRO</w:t>
    </w:r>
  </w:p>
  <w:p w14:paraId="39E262B8">
    <w:pPr>
      <w:pStyle w:val="27"/>
      <w:tabs>
        <w:tab w:val="center" w:pos="2127"/>
      </w:tabs>
      <w:jc w:val="center"/>
      <w:rPr>
        <w:rFonts w:ascii="Book Antiqua" w:hAnsi="Book Antiqua"/>
        <w:b/>
        <w:sz w:val="28"/>
        <w:szCs w:val="28"/>
      </w:rPr>
    </w:pPr>
    <w:r>
      <w:rPr>
        <w:rFonts w:ascii="Book Antiqua" w:hAnsi="Book Antiqua"/>
        <w:b/>
        <w:sz w:val="28"/>
        <w:szCs w:val="28"/>
      </w:rPr>
      <w:t>PREFEITURA MUNICIPAL DE VALENÇA</w:t>
    </w:r>
  </w:p>
  <w:p w14:paraId="59B0A304">
    <w:pPr>
      <w:pStyle w:val="27"/>
      <w:tabs>
        <w:tab w:val="center" w:pos="2127"/>
      </w:tabs>
      <w:jc w:val="center"/>
      <w:rPr>
        <w:rFonts w:ascii="Book Antiqua" w:hAnsi="Book Antiqua"/>
        <w:b/>
        <w:sz w:val="28"/>
        <w:szCs w:val="28"/>
      </w:rPr>
    </w:pPr>
    <w:r>
      <w:rPr>
        <w:rFonts w:ascii="Book Antiqua" w:hAnsi="Book Antiqua"/>
        <w:b/>
        <w:sz w:val="28"/>
        <w:szCs w:val="28"/>
      </w:rPr>
      <w:t xml:space="preserve">  DEPARTAMENTO DE COMPRAS E LICITAÇÕES</w:t>
    </w:r>
  </w:p>
  <w:tbl>
    <w:tblPr>
      <w:tblStyle w:val="10"/>
      <w:tblW w:w="10538" w:type="dxa"/>
      <w:tblInd w:w="-28" w:type="dxa"/>
      <w:tblLayout w:type="fixed"/>
      <w:tblCellMar>
        <w:top w:w="0" w:type="dxa"/>
        <w:left w:w="108" w:type="dxa"/>
        <w:bottom w:w="0" w:type="dxa"/>
        <w:right w:w="108" w:type="dxa"/>
      </w:tblCellMar>
    </w:tblPr>
    <w:tblGrid>
      <w:gridCol w:w="940"/>
      <w:gridCol w:w="9362"/>
      <w:gridCol w:w="236"/>
    </w:tblGrid>
    <w:tr w14:paraId="377848AA">
      <w:tblPrEx>
        <w:tblCellMar>
          <w:top w:w="0" w:type="dxa"/>
          <w:left w:w="108" w:type="dxa"/>
          <w:bottom w:w="0" w:type="dxa"/>
          <w:right w:w="108" w:type="dxa"/>
        </w:tblCellMar>
      </w:tblPrEx>
      <w:trPr>
        <w:cantSplit/>
        <w:trHeight w:val="192" w:hRule="atLeast"/>
      </w:trPr>
      <w:tc>
        <w:tcPr>
          <w:tcW w:w="945" w:type="dxa"/>
        </w:tcPr>
        <w:p w14:paraId="686ABAB3">
          <w:pPr>
            <w:pStyle w:val="27"/>
            <w:tabs>
              <w:tab w:val="center" w:pos="2127"/>
            </w:tabs>
            <w:jc w:val="center"/>
            <w:rPr>
              <w:rFonts w:ascii="Book Antiqua" w:hAnsi="Book Antiqua"/>
              <w:b/>
              <w:sz w:val="28"/>
              <w:szCs w:val="28"/>
            </w:rPr>
          </w:pPr>
        </w:p>
        <w:p w14:paraId="61895498">
          <w:pPr>
            <w:tabs>
              <w:tab w:val="center" w:pos="4419"/>
              <w:tab w:val="right" w:pos="8838"/>
            </w:tabs>
            <w:rPr>
              <w:rFonts w:eastAsia="Arial" w:cs="Arial"/>
              <w:color w:val="000000"/>
            </w:rPr>
          </w:pPr>
        </w:p>
      </w:tc>
      <w:tc>
        <w:tcPr>
          <w:tcW w:w="9422" w:type="dxa"/>
          <w:vAlign w:val="center"/>
        </w:tcPr>
        <w:p w14:paraId="16A2CCD3">
          <w:pPr>
            <w:tabs>
              <w:tab w:val="center" w:pos="4419"/>
              <w:tab w:val="right" w:pos="8838"/>
            </w:tabs>
            <w:rPr>
              <w:rFonts w:eastAsia="Arial" w:cs="Arial"/>
              <w:color w:val="000000"/>
              <w:szCs w:val="24"/>
            </w:rPr>
          </w:pPr>
        </w:p>
      </w:tc>
      <w:tc>
        <w:tcPr>
          <w:tcW w:w="171" w:type="dxa"/>
        </w:tcPr>
        <w:p w14:paraId="7E98656F">
          <w:pPr>
            <w:tabs>
              <w:tab w:val="center" w:pos="4419"/>
              <w:tab w:val="right" w:pos="8838"/>
            </w:tabs>
            <w:rPr>
              <w:rFonts w:eastAsia="Arial" w:cs="Arial"/>
              <w:b/>
              <w:color w:val="000000"/>
              <w:sz w:val="18"/>
              <w:szCs w:val="18"/>
            </w:rPr>
          </w:pPr>
        </w:p>
      </w:tc>
    </w:tr>
    <w:tr w14:paraId="750A74D0">
      <w:tblPrEx>
        <w:tblCellMar>
          <w:top w:w="0" w:type="dxa"/>
          <w:left w:w="108" w:type="dxa"/>
          <w:bottom w:w="0" w:type="dxa"/>
          <w:right w:w="108" w:type="dxa"/>
        </w:tblCellMar>
      </w:tblPrEx>
      <w:trPr>
        <w:cantSplit/>
        <w:trHeight w:val="192" w:hRule="atLeast"/>
      </w:trPr>
      <w:tc>
        <w:tcPr>
          <w:tcW w:w="945" w:type="dxa"/>
          <w:tcBorders>
            <w:bottom w:val="single" w:color="000000" w:sz="4" w:space="0"/>
          </w:tcBorders>
        </w:tcPr>
        <w:p w14:paraId="1C88669F">
          <w:pPr>
            <w:tabs>
              <w:tab w:val="center" w:pos="4419"/>
              <w:tab w:val="right" w:pos="8838"/>
            </w:tabs>
            <w:rPr>
              <w:color w:val="000000"/>
              <w:szCs w:val="24"/>
            </w:rPr>
          </w:pPr>
        </w:p>
      </w:tc>
      <w:tc>
        <w:tcPr>
          <w:tcW w:w="9422" w:type="dxa"/>
          <w:tcBorders>
            <w:bottom w:val="single" w:color="000000" w:sz="4" w:space="0"/>
          </w:tcBorders>
          <w:vAlign w:val="center"/>
        </w:tcPr>
        <w:p w14:paraId="37D59277">
          <w:pPr>
            <w:tabs>
              <w:tab w:val="center" w:pos="4419"/>
              <w:tab w:val="right" w:pos="8838"/>
            </w:tabs>
            <w:rPr>
              <w:rFonts w:eastAsia="Arial" w:cs="Arial"/>
              <w:color w:val="000000"/>
              <w:szCs w:val="24"/>
            </w:rPr>
          </w:pPr>
        </w:p>
      </w:tc>
      <w:tc>
        <w:tcPr>
          <w:tcW w:w="171" w:type="dxa"/>
          <w:tcBorders>
            <w:bottom w:val="single" w:color="000000" w:sz="4" w:space="0"/>
          </w:tcBorders>
        </w:tcPr>
        <w:p w14:paraId="1760BB9F">
          <w:pPr>
            <w:tabs>
              <w:tab w:val="center" w:pos="4419"/>
              <w:tab w:val="right" w:pos="8838"/>
            </w:tabs>
            <w:rPr>
              <w:rFonts w:eastAsia="Arial" w:cs="Arial"/>
              <w:b/>
              <w:color w:val="000000"/>
              <w:sz w:val="18"/>
              <w:szCs w:val="18"/>
            </w:rPr>
          </w:pPr>
        </w:p>
      </w:tc>
    </w:tr>
  </w:tbl>
  <w:p w14:paraId="2D30364A">
    <w:pPr>
      <w:tabs>
        <w:tab w:val="left" w:pos="2880"/>
        <w:tab w:val="center" w:pos="4419"/>
        <w:tab w:val="right" w:pos="8838"/>
      </w:tabs>
      <w:rPr>
        <w:color w:val="00000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89"/>
    <w:multiLevelType w:val="singleLevel"/>
    <w:tmpl w:val="FFFFFF89"/>
    <w:lvl w:ilvl="0" w:tentative="0">
      <w:start w:val="1"/>
      <w:numFmt w:val="bullet"/>
      <w:pStyle w:val="35"/>
      <w:lvlText w:val=""/>
      <w:lvlJc w:val="left"/>
      <w:pPr>
        <w:tabs>
          <w:tab w:val="left" w:pos="360"/>
        </w:tabs>
        <w:ind w:left="360" w:hanging="360"/>
      </w:pPr>
      <w:rPr>
        <w:rFonts w:hint="default" w:ascii="Symbol" w:hAnsi="Symbol"/>
      </w:rPr>
    </w:lvl>
  </w:abstractNum>
  <w:abstractNum w:abstractNumId="1">
    <w:nsid w:val="1D5C100D"/>
    <w:multiLevelType w:val="multilevel"/>
    <w:tmpl w:val="1D5C100D"/>
    <w:lvl w:ilvl="0" w:tentative="0">
      <w:start w:val="3"/>
      <w:numFmt w:val="decimal"/>
      <w:pStyle w:val="107"/>
      <w:lvlText w:val="%1."/>
      <w:lvlJc w:val="left"/>
      <w:pPr>
        <w:ind w:left="360" w:hanging="360"/>
      </w:pPr>
      <w:rPr>
        <w:rFonts w:hint="default"/>
        <w:b/>
        <w:color w:val="auto"/>
      </w:rPr>
    </w:lvl>
    <w:lvl w:ilvl="1" w:tentative="0">
      <w:start w:val="1"/>
      <w:numFmt w:val="decimal"/>
      <w:lvlText w:val="%1.%2."/>
      <w:lvlJc w:val="left"/>
      <w:pPr>
        <w:ind w:left="432" w:hanging="432"/>
      </w:pPr>
      <w:rPr>
        <w:rFonts w:hint="default"/>
        <w:b w:val="0"/>
        <w:i w:val="0"/>
        <w:strike w:val="0"/>
        <w:dstrike w:val="0"/>
        <w:color w:val="auto"/>
        <w:u w:val="none"/>
      </w:rPr>
    </w:lvl>
    <w:lvl w:ilvl="2" w:tentative="0">
      <w:start w:val="1"/>
      <w:numFmt w:val="decimal"/>
      <w:lvlText w:val="%1.%2.%3."/>
      <w:lvlJc w:val="left"/>
      <w:pPr>
        <w:ind w:left="930" w:hanging="504"/>
      </w:pPr>
      <w:rPr>
        <w:rFonts w:hint="default"/>
        <w:b w:val="0"/>
        <w:i w:val="0"/>
        <w:color w:val="auto"/>
      </w:rPr>
    </w:lvl>
    <w:lvl w:ilvl="3" w:tentative="0">
      <w:start w:val="1"/>
      <w:numFmt w:val="decimal"/>
      <w:lvlText w:val="%1.%2.%3.%4."/>
      <w:lvlJc w:val="left"/>
      <w:pPr>
        <w:ind w:left="1641" w:hanging="648"/>
      </w:pPr>
      <w:rPr>
        <w:rFonts w:hint="default"/>
      </w:rPr>
    </w:lvl>
    <w:lvl w:ilvl="4" w:tentative="0">
      <w:start w:val="1"/>
      <w:numFmt w:val="decimal"/>
      <w:lvlText w:val="%1.%2.%3.%4.%5."/>
      <w:lvlJc w:val="left"/>
      <w:pPr>
        <w:ind w:left="2232" w:hanging="792"/>
      </w:pPr>
      <w:rPr>
        <w:rFonts w:hint="default"/>
      </w:rPr>
    </w:lvl>
    <w:lvl w:ilvl="5" w:tentative="0">
      <w:start w:val="1"/>
      <w:numFmt w:val="decimal"/>
      <w:lvlText w:val="%1.%2.%3.%4.%5.%6."/>
      <w:lvlJc w:val="left"/>
      <w:pPr>
        <w:ind w:left="2736" w:hanging="936"/>
      </w:pPr>
      <w:rPr>
        <w:rFonts w:hint="default"/>
      </w:rPr>
    </w:lvl>
    <w:lvl w:ilvl="6" w:tentative="0">
      <w:start w:val="1"/>
      <w:numFmt w:val="decimal"/>
      <w:lvlText w:val="%1.%2.%3.%4.%5.%6.%7."/>
      <w:lvlJc w:val="left"/>
      <w:pPr>
        <w:ind w:left="3240" w:hanging="1080"/>
      </w:pPr>
      <w:rPr>
        <w:rFonts w:hint="default"/>
      </w:rPr>
    </w:lvl>
    <w:lvl w:ilvl="7" w:tentative="0">
      <w:start w:val="1"/>
      <w:numFmt w:val="decimal"/>
      <w:lvlText w:val="%1.%2.%3.%4.%5.%6.%7.%8."/>
      <w:lvlJc w:val="left"/>
      <w:pPr>
        <w:ind w:left="3744" w:hanging="1224"/>
      </w:pPr>
      <w:rPr>
        <w:rFonts w:hint="default"/>
      </w:rPr>
    </w:lvl>
    <w:lvl w:ilvl="8" w:tentative="0">
      <w:start w:val="1"/>
      <w:numFmt w:val="decimal"/>
      <w:lvlText w:val="%1.%2.%3.%4.%5.%6.%7.%8.%9."/>
      <w:lvlJc w:val="left"/>
      <w:pPr>
        <w:ind w:left="4320" w:hanging="1440"/>
      </w:pPr>
      <w:rPr>
        <w:rFonts w:hint="default"/>
      </w:rPr>
    </w:lvl>
  </w:abstractNum>
  <w:abstractNum w:abstractNumId="2">
    <w:nsid w:val="2EFD5C8B"/>
    <w:multiLevelType w:val="multilevel"/>
    <w:tmpl w:val="2EFD5C8B"/>
    <w:lvl w:ilvl="0" w:tentative="0">
      <w:start w:val="1"/>
      <w:numFmt w:val="decimal"/>
      <w:lvlText w:val="%1."/>
      <w:lvlJc w:val="left"/>
      <w:pPr>
        <w:ind w:left="720" w:hanging="360"/>
      </w:pPr>
      <w:rPr>
        <w:rFonts w:hint="default"/>
      </w:rPr>
    </w:lvl>
    <w:lvl w:ilvl="1" w:tentative="0">
      <w:start w:val="1"/>
      <w:numFmt w:val="decimal"/>
      <w:isLgl/>
      <w:lvlText w:val="%1.%2."/>
      <w:lvlJc w:val="left"/>
      <w:pPr>
        <w:ind w:left="1080" w:hanging="720"/>
      </w:pPr>
      <w:rPr>
        <w:rFonts w:hint="default"/>
      </w:rPr>
    </w:lvl>
    <w:lvl w:ilvl="2" w:tentative="0">
      <w:start w:val="1"/>
      <w:numFmt w:val="decimal"/>
      <w:isLgl/>
      <w:lvlText w:val="%1.%2.%3."/>
      <w:lvlJc w:val="left"/>
      <w:pPr>
        <w:ind w:left="1080" w:hanging="720"/>
      </w:pPr>
      <w:rPr>
        <w:rFonts w:hint="default"/>
      </w:rPr>
    </w:lvl>
    <w:lvl w:ilvl="3" w:tentative="0">
      <w:start w:val="1"/>
      <w:numFmt w:val="decimal"/>
      <w:isLgl/>
      <w:lvlText w:val="%1.%2.%3.%4."/>
      <w:lvlJc w:val="left"/>
      <w:pPr>
        <w:ind w:left="1440" w:hanging="1080"/>
      </w:pPr>
      <w:rPr>
        <w:rFonts w:hint="default"/>
      </w:rPr>
    </w:lvl>
    <w:lvl w:ilvl="4" w:tentative="0">
      <w:start w:val="1"/>
      <w:numFmt w:val="decimal"/>
      <w:isLgl/>
      <w:lvlText w:val="%1.%2.%3.%4.%5."/>
      <w:lvlJc w:val="left"/>
      <w:pPr>
        <w:ind w:left="1440" w:hanging="1080"/>
      </w:pPr>
      <w:rPr>
        <w:rFonts w:hint="default"/>
      </w:rPr>
    </w:lvl>
    <w:lvl w:ilvl="5" w:tentative="0">
      <w:start w:val="1"/>
      <w:numFmt w:val="decimal"/>
      <w:isLgl/>
      <w:lvlText w:val="%1.%2.%3.%4.%5.%6."/>
      <w:lvlJc w:val="left"/>
      <w:pPr>
        <w:ind w:left="1800" w:hanging="1440"/>
      </w:pPr>
      <w:rPr>
        <w:rFonts w:hint="default"/>
      </w:rPr>
    </w:lvl>
    <w:lvl w:ilvl="6" w:tentative="0">
      <w:start w:val="1"/>
      <w:numFmt w:val="decimal"/>
      <w:isLgl/>
      <w:lvlText w:val="%1.%2.%3.%4.%5.%6.%7."/>
      <w:lvlJc w:val="left"/>
      <w:pPr>
        <w:ind w:left="1800" w:hanging="1440"/>
      </w:pPr>
      <w:rPr>
        <w:rFonts w:hint="default"/>
      </w:rPr>
    </w:lvl>
    <w:lvl w:ilvl="7" w:tentative="0">
      <w:start w:val="1"/>
      <w:numFmt w:val="decimal"/>
      <w:isLgl/>
      <w:lvlText w:val="%1.%2.%3.%4.%5.%6.%7.%8."/>
      <w:lvlJc w:val="left"/>
      <w:pPr>
        <w:ind w:left="2160" w:hanging="1800"/>
      </w:pPr>
      <w:rPr>
        <w:rFonts w:hint="default"/>
      </w:rPr>
    </w:lvl>
    <w:lvl w:ilvl="8" w:tentative="0">
      <w:start w:val="1"/>
      <w:numFmt w:val="decimal"/>
      <w:isLgl/>
      <w:lvlText w:val="%1.%2.%3.%4.%5.%6.%7.%8.%9."/>
      <w:lvlJc w:val="left"/>
      <w:pPr>
        <w:ind w:left="2160" w:hanging="1800"/>
      </w:pPr>
      <w:rPr>
        <w:rFonts w:hint="default"/>
      </w:rPr>
    </w:lvl>
  </w:abstractNum>
  <w:abstractNum w:abstractNumId="3">
    <w:nsid w:val="43265457"/>
    <w:multiLevelType w:val="multilevel"/>
    <w:tmpl w:val="43265457"/>
    <w:lvl w:ilvl="0" w:tentative="0">
      <w:start w:val="1"/>
      <w:numFmt w:val="decimal"/>
      <w:lvlText w:val="%1"/>
      <w:lvlJc w:val="left"/>
      <w:pPr>
        <w:ind w:left="360" w:hanging="360"/>
      </w:pPr>
      <w:rPr>
        <w:rFonts w:hint="default"/>
      </w:rPr>
    </w:lvl>
    <w:lvl w:ilvl="1" w:tentative="0">
      <w:start w:val="1"/>
      <w:numFmt w:val="decimal"/>
      <w:lvlText w:val="%1.%2"/>
      <w:lvlJc w:val="left"/>
      <w:pPr>
        <w:ind w:left="360" w:hanging="360"/>
      </w:pPr>
      <w:rPr>
        <w:rFonts w:hint="default"/>
      </w:rPr>
    </w:lvl>
    <w:lvl w:ilvl="2" w:tentative="0">
      <w:start w:val="1"/>
      <w:numFmt w:val="decimal"/>
      <w:lvlText w:val="%1.%2.%3"/>
      <w:lvlJc w:val="left"/>
      <w:pPr>
        <w:ind w:left="720" w:hanging="720"/>
      </w:pPr>
      <w:rPr>
        <w:rFonts w:hint="default"/>
      </w:rPr>
    </w:lvl>
    <w:lvl w:ilvl="3" w:tentative="0">
      <w:start w:val="1"/>
      <w:numFmt w:val="decimal"/>
      <w:lvlText w:val="%1.%2.%3.%4"/>
      <w:lvlJc w:val="left"/>
      <w:pPr>
        <w:ind w:left="720" w:hanging="720"/>
      </w:pPr>
      <w:rPr>
        <w:rFonts w:hint="default"/>
      </w:rPr>
    </w:lvl>
    <w:lvl w:ilvl="4" w:tentative="0">
      <w:start w:val="1"/>
      <w:numFmt w:val="decimal"/>
      <w:lvlText w:val="%1.%2.%3.%4.%5"/>
      <w:lvlJc w:val="left"/>
      <w:pPr>
        <w:ind w:left="1080" w:hanging="1080"/>
      </w:pPr>
      <w:rPr>
        <w:rFonts w:hint="default"/>
      </w:rPr>
    </w:lvl>
    <w:lvl w:ilvl="5" w:tentative="0">
      <w:start w:val="1"/>
      <w:numFmt w:val="decimal"/>
      <w:lvlText w:val="%1.%2.%3.%4.%5.%6"/>
      <w:lvlJc w:val="left"/>
      <w:pPr>
        <w:ind w:left="1080" w:hanging="1080"/>
      </w:pPr>
      <w:rPr>
        <w:rFonts w:hint="default"/>
      </w:rPr>
    </w:lvl>
    <w:lvl w:ilvl="6" w:tentative="0">
      <w:start w:val="1"/>
      <w:numFmt w:val="decimal"/>
      <w:lvlText w:val="%1.%2.%3.%4.%5.%6.%7"/>
      <w:lvlJc w:val="left"/>
      <w:pPr>
        <w:ind w:left="1440" w:hanging="1440"/>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800" w:hanging="1800"/>
      </w:pPr>
      <w:rPr>
        <w:rFonts w:hint="default"/>
      </w:rPr>
    </w:lvl>
  </w:abstractNum>
  <w:abstractNum w:abstractNumId="4">
    <w:nsid w:val="46085681"/>
    <w:multiLevelType w:val="multilevel"/>
    <w:tmpl w:val="46085681"/>
    <w:lvl w:ilvl="0" w:tentative="0">
      <w:start w:val="1"/>
      <w:numFmt w:val="decimal"/>
      <w:pStyle w:val="140"/>
      <w:lvlText w:val="%1."/>
      <w:lvlJc w:val="left"/>
      <w:pPr>
        <w:ind w:left="720" w:hanging="360"/>
      </w:pPr>
      <w:rPr>
        <w:rFonts w:cs="Times New Roman"/>
        <w:b/>
        <w:bCs/>
        <w:color w:val="000000"/>
      </w:rPr>
    </w:lvl>
    <w:lvl w:ilvl="1" w:tentative="0">
      <w:start w:val="1"/>
      <w:numFmt w:val="decimal"/>
      <w:suff w:val="space"/>
      <w:lvlText w:val="%1.%2."/>
      <w:lvlJc w:val="left"/>
      <w:pPr>
        <w:ind w:left="1072" w:hanging="363"/>
      </w:pPr>
      <w:rPr>
        <w:rFonts w:cs="Times New Roman"/>
        <w:b/>
        <w:bCs/>
        <w:strike w:val="0"/>
        <w:dstrike w:val="0"/>
        <w:color w:val="auto"/>
      </w:rPr>
    </w:lvl>
    <w:lvl w:ilvl="2" w:tentative="0">
      <w:start w:val="1"/>
      <w:numFmt w:val="decimal"/>
      <w:suff w:val="space"/>
      <w:lvlText w:val=" %1.%2.%3."/>
      <w:lvlJc w:val="left"/>
      <w:pPr>
        <w:ind w:left="1440" w:hanging="360"/>
      </w:pPr>
      <w:rPr>
        <w:rFonts w:cs="Times New Roman"/>
        <w:b/>
        <w:bCs/>
      </w:rPr>
    </w:lvl>
    <w:lvl w:ilvl="3" w:tentative="0">
      <w:start w:val="1"/>
      <w:numFmt w:val="decimal"/>
      <w:suff w:val="space"/>
      <w:lvlText w:val=" %1.%2.%3.%4."/>
      <w:lvlJc w:val="left"/>
      <w:pPr>
        <w:ind w:left="1920" w:hanging="360"/>
      </w:pPr>
      <w:rPr>
        <w:rFonts w:cs="Times New Roman"/>
        <w:sz w:val="24"/>
        <w:szCs w:val="24"/>
      </w:rPr>
    </w:lvl>
    <w:lvl w:ilvl="4" w:tentative="0">
      <w:start w:val="1"/>
      <w:numFmt w:val="decimal"/>
      <w:suff w:val="space"/>
      <w:lvlText w:val=" %1.%2.%3.%4.%5."/>
      <w:lvlJc w:val="left"/>
      <w:pPr>
        <w:ind w:left="2160" w:hanging="360"/>
      </w:pPr>
      <w:rPr>
        <w:rFonts w:cs="Times New Roman"/>
      </w:rPr>
    </w:lvl>
    <w:lvl w:ilvl="5" w:tentative="0">
      <w:start w:val="1"/>
      <w:numFmt w:val="decimal"/>
      <w:lvlText w:val=" %1.%2.%3.%4.%5.%6."/>
      <w:lvlJc w:val="left"/>
      <w:pPr>
        <w:ind w:left="2520" w:hanging="360"/>
      </w:pPr>
      <w:rPr>
        <w:rFonts w:cs="Times New Roman"/>
      </w:rPr>
    </w:lvl>
    <w:lvl w:ilvl="6" w:tentative="0">
      <w:start w:val="1"/>
      <w:numFmt w:val="decimal"/>
      <w:lvlText w:val=" %1.%2.%3.%4.%5.%6.%7."/>
      <w:lvlJc w:val="left"/>
      <w:pPr>
        <w:ind w:left="2880" w:hanging="360"/>
      </w:pPr>
      <w:rPr>
        <w:rFonts w:cs="Times New Roman"/>
      </w:rPr>
    </w:lvl>
    <w:lvl w:ilvl="7" w:tentative="0">
      <w:start w:val="1"/>
      <w:numFmt w:val="decimal"/>
      <w:lvlText w:val=" %1.%2.%3.%4.%5.%6.%7.%8."/>
      <w:lvlJc w:val="left"/>
      <w:pPr>
        <w:ind w:left="3240" w:hanging="360"/>
      </w:pPr>
      <w:rPr>
        <w:rFonts w:cs="Times New Roman"/>
      </w:rPr>
    </w:lvl>
    <w:lvl w:ilvl="8" w:tentative="0">
      <w:start w:val="1"/>
      <w:numFmt w:val="decimal"/>
      <w:lvlText w:val=" %1.%2.%3.%4.%5.%6.%7.%8.%9."/>
      <w:lvlJc w:val="left"/>
      <w:pPr>
        <w:ind w:left="3600" w:hanging="360"/>
      </w:pPr>
      <w:rPr>
        <w:rFonts w:cs="Times New Roman"/>
      </w:rPr>
    </w:lvl>
  </w:abstractNum>
  <w:abstractNum w:abstractNumId="5">
    <w:nsid w:val="61DD361E"/>
    <w:multiLevelType w:val="multilevel"/>
    <w:tmpl w:val="61DD361E"/>
    <w:lvl w:ilvl="0" w:tentative="0">
      <w:start w:val="1"/>
      <w:numFmt w:val="decimal"/>
      <w:pStyle w:val="105"/>
      <w:lvlText w:val="%1."/>
      <w:lvlJc w:val="left"/>
      <w:pPr>
        <w:ind w:left="502" w:hanging="360"/>
      </w:pPr>
      <w:rPr>
        <w:rFonts w:hint="default"/>
        <w:b/>
        <w:i w:val="0"/>
      </w:rPr>
    </w:lvl>
    <w:lvl w:ilvl="1" w:tentative="0">
      <w:start w:val="1"/>
      <w:numFmt w:val="decimal"/>
      <w:pStyle w:val="108"/>
      <w:suff w:val="space"/>
      <w:lvlText w:val="%1.%2."/>
      <w:lvlJc w:val="left"/>
      <w:pPr>
        <w:ind w:left="851" w:firstLine="0"/>
      </w:pPr>
      <w:rPr>
        <w:rFonts w:hint="default"/>
        <w:b w:val="0"/>
        <w:i w:val="0"/>
        <w:color w:val="auto"/>
      </w:rPr>
    </w:lvl>
    <w:lvl w:ilvl="2" w:tentative="0">
      <w:start w:val="1"/>
      <w:numFmt w:val="decimal"/>
      <w:pStyle w:val="110"/>
      <w:suff w:val="space"/>
      <w:lvlText w:val="%1.%2.%3."/>
      <w:lvlJc w:val="left"/>
      <w:pPr>
        <w:ind w:left="1135" w:firstLine="0"/>
      </w:pPr>
      <w:rPr>
        <w:rFonts w:hint="default"/>
        <w:b w:val="0"/>
        <w:i w:val="0"/>
        <w:color w:val="auto"/>
        <w:sz w:val="20"/>
        <w:szCs w:val="20"/>
      </w:rPr>
    </w:lvl>
    <w:lvl w:ilvl="3" w:tentative="0">
      <w:start w:val="1"/>
      <w:numFmt w:val="decimal"/>
      <w:pStyle w:val="112"/>
      <w:suff w:val="space"/>
      <w:lvlText w:val="%1.%2.%3.%4."/>
      <w:lvlJc w:val="left"/>
      <w:pPr>
        <w:ind w:left="1702" w:firstLine="0"/>
      </w:pPr>
      <w:rPr>
        <w:rFonts w:hint="default" w:ascii="Times New Roman" w:hAnsi="Times New Roman" w:cs="Times New Roman"/>
        <w:b w:val="0"/>
        <w:bCs/>
        <w:i w:val="0"/>
      </w:rPr>
    </w:lvl>
    <w:lvl w:ilvl="4" w:tentative="0">
      <w:start w:val="1"/>
      <w:numFmt w:val="decimal"/>
      <w:suff w:val="space"/>
      <w:lvlText w:val="%1.%2.%3.%4.%5."/>
      <w:lvlJc w:val="left"/>
      <w:pPr>
        <w:ind w:left="1134" w:firstLine="0"/>
      </w:pPr>
      <w:rPr>
        <w:rFonts w:hint="default"/>
        <w:b/>
        <w:i w:val="0"/>
      </w:rPr>
    </w:lvl>
    <w:lvl w:ilvl="5" w:tentative="0">
      <w:start w:val="1"/>
      <w:numFmt w:val="decimal"/>
      <w:lvlText w:val="%1.%2.%3.%4.%5.%6."/>
      <w:lvlJc w:val="left"/>
      <w:pPr>
        <w:tabs>
          <w:tab w:val="left" w:pos="2880"/>
        </w:tabs>
        <w:ind w:left="2736" w:hanging="936"/>
      </w:pPr>
      <w:rPr>
        <w:rFonts w:hint="default"/>
      </w:rPr>
    </w:lvl>
    <w:lvl w:ilvl="6" w:tentative="0">
      <w:start w:val="1"/>
      <w:numFmt w:val="decimal"/>
      <w:lvlText w:val="%1.%2.%3.%4.%5.%6.%7."/>
      <w:lvlJc w:val="left"/>
      <w:pPr>
        <w:tabs>
          <w:tab w:val="left" w:pos="3600"/>
        </w:tabs>
        <w:ind w:left="3240" w:hanging="1080"/>
      </w:pPr>
      <w:rPr>
        <w:rFonts w:hint="default"/>
      </w:rPr>
    </w:lvl>
    <w:lvl w:ilvl="7" w:tentative="0">
      <w:start w:val="1"/>
      <w:numFmt w:val="decimal"/>
      <w:lvlText w:val="%1.%2.%3.%4.%5.%6.%7.%8."/>
      <w:lvlJc w:val="left"/>
      <w:pPr>
        <w:tabs>
          <w:tab w:val="left" w:pos="3960"/>
        </w:tabs>
        <w:ind w:left="3744" w:hanging="1224"/>
      </w:pPr>
      <w:rPr>
        <w:rFonts w:hint="default"/>
      </w:rPr>
    </w:lvl>
    <w:lvl w:ilvl="8" w:tentative="0">
      <w:start w:val="1"/>
      <w:numFmt w:val="decimal"/>
      <w:lvlText w:val="%1.%2.%3.%4.%5.%6.%7.%8.%9."/>
      <w:lvlJc w:val="left"/>
      <w:pPr>
        <w:tabs>
          <w:tab w:val="left" w:pos="4680"/>
        </w:tabs>
        <w:ind w:left="4320" w:hanging="1440"/>
      </w:pPr>
      <w:rPr>
        <w:rFonts w:hint="default"/>
      </w:rPr>
    </w:lvl>
  </w:abstractNum>
  <w:num w:numId="1">
    <w:abstractNumId w:val="0"/>
  </w:num>
  <w:num w:numId="2">
    <w:abstractNumId w:val="5"/>
  </w:num>
  <w:num w:numId="3">
    <w:abstractNumId w:val="1"/>
  </w:num>
  <w:num w:numId="4">
    <w:abstractNumId w:val="4"/>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documentProtection w:enforcement="0"/>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306E"/>
    <w:rsid w:val="00001727"/>
    <w:rsid w:val="00002B55"/>
    <w:rsid w:val="000047FF"/>
    <w:rsid w:val="0001108A"/>
    <w:rsid w:val="0002476F"/>
    <w:rsid w:val="00031280"/>
    <w:rsid w:val="000337DD"/>
    <w:rsid w:val="0003551A"/>
    <w:rsid w:val="0004193E"/>
    <w:rsid w:val="00042D77"/>
    <w:rsid w:val="00044F59"/>
    <w:rsid w:val="00046F0A"/>
    <w:rsid w:val="000546F3"/>
    <w:rsid w:val="0005496D"/>
    <w:rsid w:val="00064B05"/>
    <w:rsid w:val="00074132"/>
    <w:rsid w:val="00084938"/>
    <w:rsid w:val="00085292"/>
    <w:rsid w:val="00091296"/>
    <w:rsid w:val="00093103"/>
    <w:rsid w:val="000943D7"/>
    <w:rsid w:val="000978D1"/>
    <w:rsid w:val="000C3FF4"/>
    <w:rsid w:val="000D7E65"/>
    <w:rsid w:val="000E355F"/>
    <w:rsid w:val="0010416D"/>
    <w:rsid w:val="00117C41"/>
    <w:rsid w:val="00117CB9"/>
    <w:rsid w:val="00126C9A"/>
    <w:rsid w:val="00132AF6"/>
    <w:rsid w:val="00134E13"/>
    <w:rsid w:val="00136938"/>
    <w:rsid w:val="00136F6E"/>
    <w:rsid w:val="00153F3B"/>
    <w:rsid w:val="00166543"/>
    <w:rsid w:val="001672D9"/>
    <w:rsid w:val="00172E1B"/>
    <w:rsid w:val="00175E95"/>
    <w:rsid w:val="00180B8B"/>
    <w:rsid w:val="001917CC"/>
    <w:rsid w:val="00197CAC"/>
    <w:rsid w:val="001B3FB8"/>
    <w:rsid w:val="001C13C8"/>
    <w:rsid w:val="001C22A8"/>
    <w:rsid w:val="001C53A2"/>
    <w:rsid w:val="001D6836"/>
    <w:rsid w:val="001D7B8A"/>
    <w:rsid w:val="001E2743"/>
    <w:rsid w:val="001E6C6E"/>
    <w:rsid w:val="001F1109"/>
    <w:rsid w:val="001F49CF"/>
    <w:rsid w:val="001F6345"/>
    <w:rsid w:val="00200057"/>
    <w:rsid w:val="002300D2"/>
    <w:rsid w:val="00240649"/>
    <w:rsid w:val="00242F03"/>
    <w:rsid w:val="00243228"/>
    <w:rsid w:val="0024684C"/>
    <w:rsid w:val="00256763"/>
    <w:rsid w:val="00260EAE"/>
    <w:rsid w:val="00261F0F"/>
    <w:rsid w:val="00263F8F"/>
    <w:rsid w:val="00264ADE"/>
    <w:rsid w:val="00276D74"/>
    <w:rsid w:val="00281726"/>
    <w:rsid w:val="00297107"/>
    <w:rsid w:val="002B5B5D"/>
    <w:rsid w:val="002C3652"/>
    <w:rsid w:val="002C58AE"/>
    <w:rsid w:val="002C60CF"/>
    <w:rsid w:val="002D4334"/>
    <w:rsid w:val="002D66FC"/>
    <w:rsid w:val="002D6BF8"/>
    <w:rsid w:val="002E1E69"/>
    <w:rsid w:val="002E797A"/>
    <w:rsid w:val="002F462C"/>
    <w:rsid w:val="00302FD0"/>
    <w:rsid w:val="003106DF"/>
    <w:rsid w:val="00321757"/>
    <w:rsid w:val="00322708"/>
    <w:rsid w:val="00354BAC"/>
    <w:rsid w:val="0036420F"/>
    <w:rsid w:val="003A122E"/>
    <w:rsid w:val="003C606F"/>
    <w:rsid w:val="003D05A9"/>
    <w:rsid w:val="003D1588"/>
    <w:rsid w:val="003D177A"/>
    <w:rsid w:val="003D2EA0"/>
    <w:rsid w:val="003E114B"/>
    <w:rsid w:val="003E6590"/>
    <w:rsid w:val="003F306E"/>
    <w:rsid w:val="004068F8"/>
    <w:rsid w:val="0041299D"/>
    <w:rsid w:val="0041560B"/>
    <w:rsid w:val="00415D44"/>
    <w:rsid w:val="00420256"/>
    <w:rsid w:val="004253EA"/>
    <w:rsid w:val="0043458B"/>
    <w:rsid w:val="00436E02"/>
    <w:rsid w:val="00454E42"/>
    <w:rsid w:val="00461DE5"/>
    <w:rsid w:val="0047114A"/>
    <w:rsid w:val="00476260"/>
    <w:rsid w:val="00477786"/>
    <w:rsid w:val="00492280"/>
    <w:rsid w:val="00493819"/>
    <w:rsid w:val="0049763F"/>
    <w:rsid w:val="00497AF6"/>
    <w:rsid w:val="004A4E9A"/>
    <w:rsid w:val="004C63EB"/>
    <w:rsid w:val="004D591E"/>
    <w:rsid w:val="004E2B2D"/>
    <w:rsid w:val="004E56E8"/>
    <w:rsid w:val="004E7E4B"/>
    <w:rsid w:val="004F38C4"/>
    <w:rsid w:val="004F662C"/>
    <w:rsid w:val="004F7B84"/>
    <w:rsid w:val="00501A90"/>
    <w:rsid w:val="005251A9"/>
    <w:rsid w:val="005365B5"/>
    <w:rsid w:val="0055320B"/>
    <w:rsid w:val="00562350"/>
    <w:rsid w:val="005633E2"/>
    <w:rsid w:val="00565277"/>
    <w:rsid w:val="00565B68"/>
    <w:rsid w:val="00567642"/>
    <w:rsid w:val="00570DF7"/>
    <w:rsid w:val="00575228"/>
    <w:rsid w:val="00581995"/>
    <w:rsid w:val="00585FDB"/>
    <w:rsid w:val="0058624E"/>
    <w:rsid w:val="005A018E"/>
    <w:rsid w:val="005B0D09"/>
    <w:rsid w:val="005B250C"/>
    <w:rsid w:val="005C25FD"/>
    <w:rsid w:val="005C603E"/>
    <w:rsid w:val="005C7DCE"/>
    <w:rsid w:val="005D24F4"/>
    <w:rsid w:val="005D7DBE"/>
    <w:rsid w:val="005E09CD"/>
    <w:rsid w:val="00601AB8"/>
    <w:rsid w:val="00601FD3"/>
    <w:rsid w:val="00616503"/>
    <w:rsid w:val="00616BA8"/>
    <w:rsid w:val="00636999"/>
    <w:rsid w:val="00637301"/>
    <w:rsid w:val="006404C6"/>
    <w:rsid w:val="006454C5"/>
    <w:rsid w:val="00645BB7"/>
    <w:rsid w:val="00660E7E"/>
    <w:rsid w:val="00680E06"/>
    <w:rsid w:val="00681CE1"/>
    <w:rsid w:val="0068208C"/>
    <w:rsid w:val="0069381D"/>
    <w:rsid w:val="006A3A82"/>
    <w:rsid w:val="006A3AB0"/>
    <w:rsid w:val="006B018F"/>
    <w:rsid w:val="006C60D8"/>
    <w:rsid w:val="006D755A"/>
    <w:rsid w:val="006F6348"/>
    <w:rsid w:val="00704A77"/>
    <w:rsid w:val="00705122"/>
    <w:rsid w:val="00717DF6"/>
    <w:rsid w:val="00721F1E"/>
    <w:rsid w:val="00724210"/>
    <w:rsid w:val="007432A6"/>
    <w:rsid w:val="00750F6E"/>
    <w:rsid w:val="00761EB1"/>
    <w:rsid w:val="0077566C"/>
    <w:rsid w:val="00776682"/>
    <w:rsid w:val="00777538"/>
    <w:rsid w:val="00781891"/>
    <w:rsid w:val="0079284B"/>
    <w:rsid w:val="00793A6C"/>
    <w:rsid w:val="0079449F"/>
    <w:rsid w:val="007B2B18"/>
    <w:rsid w:val="007B78AE"/>
    <w:rsid w:val="007C1CCF"/>
    <w:rsid w:val="007D54B2"/>
    <w:rsid w:val="007E2818"/>
    <w:rsid w:val="007F70CB"/>
    <w:rsid w:val="0080251D"/>
    <w:rsid w:val="00802B0D"/>
    <w:rsid w:val="00807740"/>
    <w:rsid w:val="008112DD"/>
    <w:rsid w:val="00812B56"/>
    <w:rsid w:val="0081404E"/>
    <w:rsid w:val="00814E10"/>
    <w:rsid w:val="00825C70"/>
    <w:rsid w:val="00830279"/>
    <w:rsid w:val="00831C20"/>
    <w:rsid w:val="00833722"/>
    <w:rsid w:val="00840B3C"/>
    <w:rsid w:val="00840E0B"/>
    <w:rsid w:val="008427C3"/>
    <w:rsid w:val="008515C8"/>
    <w:rsid w:val="00854887"/>
    <w:rsid w:val="0086051B"/>
    <w:rsid w:val="008977DB"/>
    <w:rsid w:val="008A076D"/>
    <w:rsid w:val="008A1E6F"/>
    <w:rsid w:val="008D1BCA"/>
    <w:rsid w:val="008F1FAC"/>
    <w:rsid w:val="008F3B2D"/>
    <w:rsid w:val="008F5F68"/>
    <w:rsid w:val="008F6AEA"/>
    <w:rsid w:val="008F6FE9"/>
    <w:rsid w:val="00901F2D"/>
    <w:rsid w:val="00905190"/>
    <w:rsid w:val="00910F17"/>
    <w:rsid w:val="00913CAF"/>
    <w:rsid w:val="00916A33"/>
    <w:rsid w:val="00932B6F"/>
    <w:rsid w:val="0093434F"/>
    <w:rsid w:val="00935D0A"/>
    <w:rsid w:val="009372B0"/>
    <w:rsid w:val="00940051"/>
    <w:rsid w:val="00947D72"/>
    <w:rsid w:val="00953AA6"/>
    <w:rsid w:val="009549D6"/>
    <w:rsid w:val="00963FA2"/>
    <w:rsid w:val="009652F2"/>
    <w:rsid w:val="00967CFD"/>
    <w:rsid w:val="009720F9"/>
    <w:rsid w:val="00974582"/>
    <w:rsid w:val="0097493B"/>
    <w:rsid w:val="009861B0"/>
    <w:rsid w:val="009932F0"/>
    <w:rsid w:val="009A1021"/>
    <w:rsid w:val="009A7FA7"/>
    <w:rsid w:val="009B0134"/>
    <w:rsid w:val="009B11D6"/>
    <w:rsid w:val="009D436A"/>
    <w:rsid w:val="009D49ED"/>
    <w:rsid w:val="009E4AB8"/>
    <w:rsid w:val="009F178C"/>
    <w:rsid w:val="009F67F4"/>
    <w:rsid w:val="00A05736"/>
    <w:rsid w:val="00A06FC3"/>
    <w:rsid w:val="00A07671"/>
    <w:rsid w:val="00A15306"/>
    <w:rsid w:val="00A17830"/>
    <w:rsid w:val="00A17C82"/>
    <w:rsid w:val="00A32E29"/>
    <w:rsid w:val="00A33395"/>
    <w:rsid w:val="00A362C3"/>
    <w:rsid w:val="00A41EAE"/>
    <w:rsid w:val="00A4369C"/>
    <w:rsid w:val="00A5112D"/>
    <w:rsid w:val="00A55C27"/>
    <w:rsid w:val="00A605C5"/>
    <w:rsid w:val="00A64472"/>
    <w:rsid w:val="00A72AA9"/>
    <w:rsid w:val="00A80F0E"/>
    <w:rsid w:val="00A83DF7"/>
    <w:rsid w:val="00AB1451"/>
    <w:rsid w:val="00AB58C1"/>
    <w:rsid w:val="00AB702D"/>
    <w:rsid w:val="00AB7357"/>
    <w:rsid w:val="00AC6054"/>
    <w:rsid w:val="00AD3ECC"/>
    <w:rsid w:val="00AD54D4"/>
    <w:rsid w:val="00AE5A43"/>
    <w:rsid w:val="00B10CC3"/>
    <w:rsid w:val="00B20178"/>
    <w:rsid w:val="00B2062A"/>
    <w:rsid w:val="00B25548"/>
    <w:rsid w:val="00B30D0B"/>
    <w:rsid w:val="00B339D5"/>
    <w:rsid w:val="00B34BDB"/>
    <w:rsid w:val="00B355A6"/>
    <w:rsid w:val="00B41BDA"/>
    <w:rsid w:val="00B50433"/>
    <w:rsid w:val="00B60101"/>
    <w:rsid w:val="00B63089"/>
    <w:rsid w:val="00B63832"/>
    <w:rsid w:val="00B6755D"/>
    <w:rsid w:val="00B701E2"/>
    <w:rsid w:val="00B70F01"/>
    <w:rsid w:val="00B71173"/>
    <w:rsid w:val="00B731F6"/>
    <w:rsid w:val="00B75E45"/>
    <w:rsid w:val="00B813E0"/>
    <w:rsid w:val="00B83763"/>
    <w:rsid w:val="00B84E83"/>
    <w:rsid w:val="00B85FCD"/>
    <w:rsid w:val="00B94EEA"/>
    <w:rsid w:val="00BA47FF"/>
    <w:rsid w:val="00BA5F7F"/>
    <w:rsid w:val="00BB19B6"/>
    <w:rsid w:val="00BB5645"/>
    <w:rsid w:val="00BB7EAC"/>
    <w:rsid w:val="00BC1EC1"/>
    <w:rsid w:val="00BC2580"/>
    <w:rsid w:val="00BC579A"/>
    <w:rsid w:val="00BC6EF3"/>
    <w:rsid w:val="00BD329F"/>
    <w:rsid w:val="00BE3D2C"/>
    <w:rsid w:val="00BE426C"/>
    <w:rsid w:val="00BE4911"/>
    <w:rsid w:val="00BE543F"/>
    <w:rsid w:val="00BF5711"/>
    <w:rsid w:val="00BF62FF"/>
    <w:rsid w:val="00C07A79"/>
    <w:rsid w:val="00C10F09"/>
    <w:rsid w:val="00C343F9"/>
    <w:rsid w:val="00C360B7"/>
    <w:rsid w:val="00C42445"/>
    <w:rsid w:val="00C47608"/>
    <w:rsid w:val="00C557EA"/>
    <w:rsid w:val="00C5674C"/>
    <w:rsid w:val="00C62517"/>
    <w:rsid w:val="00C62A71"/>
    <w:rsid w:val="00C81B7E"/>
    <w:rsid w:val="00C87D25"/>
    <w:rsid w:val="00C97ED5"/>
    <w:rsid w:val="00CC1B49"/>
    <w:rsid w:val="00CD4DB6"/>
    <w:rsid w:val="00CD7C56"/>
    <w:rsid w:val="00CE4BEB"/>
    <w:rsid w:val="00CF767F"/>
    <w:rsid w:val="00D03E66"/>
    <w:rsid w:val="00D24215"/>
    <w:rsid w:val="00D27F7C"/>
    <w:rsid w:val="00D43FBE"/>
    <w:rsid w:val="00D44898"/>
    <w:rsid w:val="00D65123"/>
    <w:rsid w:val="00D673CE"/>
    <w:rsid w:val="00D90170"/>
    <w:rsid w:val="00D9343D"/>
    <w:rsid w:val="00D9568C"/>
    <w:rsid w:val="00D9648C"/>
    <w:rsid w:val="00DA4283"/>
    <w:rsid w:val="00DA79AE"/>
    <w:rsid w:val="00DB11D9"/>
    <w:rsid w:val="00DD5A11"/>
    <w:rsid w:val="00DE240B"/>
    <w:rsid w:val="00DF6E52"/>
    <w:rsid w:val="00E008CF"/>
    <w:rsid w:val="00E1354B"/>
    <w:rsid w:val="00E1356C"/>
    <w:rsid w:val="00E15C82"/>
    <w:rsid w:val="00E302A1"/>
    <w:rsid w:val="00E33BE2"/>
    <w:rsid w:val="00E37C10"/>
    <w:rsid w:val="00E6632E"/>
    <w:rsid w:val="00E668F1"/>
    <w:rsid w:val="00E67FFB"/>
    <w:rsid w:val="00E755A2"/>
    <w:rsid w:val="00E7583B"/>
    <w:rsid w:val="00E8554F"/>
    <w:rsid w:val="00E9542E"/>
    <w:rsid w:val="00E95795"/>
    <w:rsid w:val="00E95805"/>
    <w:rsid w:val="00E975C8"/>
    <w:rsid w:val="00EA035A"/>
    <w:rsid w:val="00EA221C"/>
    <w:rsid w:val="00EB0614"/>
    <w:rsid w:val="00EB2425"/>
    <w:rsid w:val="00EB5C39"/>
    <w:rsid w:val="00EC15C9"/>
    <w:rsid w:val="00EC5BC1"/>
    <w:rsid w:val="00ED316C"/>
    <w:rsid w:val="00EF0DE4"/>
    <w:rsid w:val="00EF51C9"/>
    <w:rsid w:val="00F10746"/>
    <w:rsid w:val="00F13D82"/>
    <w:rsid w:val="00F313C7"/>
    <w:rsid w:val="00F34C41"/>
    <w:rsid w:val="00F371F1"/>
    <w:rsid w:val="00F470C6"/>
    <w:rsid w:val="00F519C4"/>
    <w:rsid w:val="00F66C2E"/>
    <w:rsid w:val="00F72635"/>
    <w:rsid w:val="00F90DC5"/>
    <w:rsid w:val="00F92885"/>
    <w:rsid w:val="00FA11B3"/>
    <w:rsid w:val="00FA30F0"/>
    <w:rsid w:val="00FC11D4"/>
    <w:rsid w:val="00FD7C78"/>
    <w:rsid w:val="00FE52A9"/>
    <w:rsid w:val="00FF38CF"/>
    <w:rsid w:val="00FF7E03"/>
    <w:rsid w:val="01EB1B4B"/>
    <w:rsid w:val="3763499B"/>
    <w:rsid w:val="609F524C"/>
    <w:rsid w:val="6EC9601E"/>
    <w:rsid w:val="700A684B"/>
    <w:rsid w:val="7266063B"/>
  </w:rsids>
  <m:mathPr>
    <m:mathFont m:val="Cambria Math"/>
    <m:brkBin m:val="before"/>
    <m:brkBinSub m:val="--"/>
    <m:smallFrac m:val="0"/>
    <m:dispDef/>
    <m:lMargin m:val="0"/>
    <m:rMargin m:val="0"/>
    <m:defJc m:val="centerGroup"/>
    <m:wrapIndent m:val="1440"/>
    <m:intLim m:val="subSup"/>
    <m:naryLim m:val="undOvr"/>
  </m:mathPr>
  <w:themeFontLang w:val="pt-BR"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semiHidden="0" w:name="heading 4"/>
    <w:lsdException w:qFormat="1" w:uiPriority="0" w:semiHidden="0" w:name="heading 5"/>
    <w:lsdException w:qFormat="1" w:uiPriority="0" w:semiHidden="0" w:name="heading 6"/>
    <w:lsdException w:unhideWhenUsed="0" w:uiPriority="0" w:semiHidden="0"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semiHidden="0" w:name="footnote text"/>
    <w:lsdException w:qFormat="1" w:uiPriority="0" w:semiHidden="0" w:name="annotation text"/>
    <w:lsdException w:qFormat="1" w:unhideWhenUsed="0" w:uiPriority="99" w:semiHidden="0" w:name="header"/>
    <w:lsdException w:qFormat="1" w:uiPriority="99" w:semiHidden="0" w:name="footer"/>
    <w:lsdException w:uiPriority="99" w:name="index heading"/>
    <w:lsdException w:qFormat="1" w:uiPriority="0" w:semiHidden="0" w:name="caption"/>
    <w:lsdException w:uiPriority="99" w:name="table of figures"/>
    <w:lsdException w:uiPriority="99" w:name="envelope address"/>
    <w:lsdException w:uiPriority="99" w:name="envelope return"/>
    <w:lsdException w:qFormat="1" w:uiPriority="99" w:semiHidden="0"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nhideWhenUsed="0" w:uiPriority="0" w:semiHidden="0" w:name="List"/>
    <w:lsdException w:qFormat="1" w:uiPriority="99" w:semiHidden="0"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qFormat="1" w:uiPriority="99" w:semiHidden="0" w:name="Body Text 3"/>
    <w:lsdException w:qFormat="1" w:unhideWhenUsed="0" w:uiPriority="0" w:semiHidden="0" w:name="Body Text Indent 2"/>
    <w:lsdException w:unhideWhenUsed="0" w:uiPriority="0" w:semiHidden="0"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qFormat="1" w:unhideWhenUsed="0" w:uiPriority="1" w:semiHidden="0" w:name="List Paragraph"/>
  </w:latentStyles>
  <w:style w:type="paragraph" w:default="1" w:styleId="1">
    <w:name w:val="Normal"/>
    <w:qFormat/>
    <w:uiPriority w:val="0"/>
    <w:rPr>
      <w:rFonts w:ascii="Times New Roman" w:hAnsi="Times New Roman" w:eastAsia="Times New Roman" w:cs="Times New Roman"/>
      <w:lang w:val="pt-BR" w:eastAsia="pt-BR" w:bidi="ar-SA"/>
    </w:rPr>
  </w:style>
  <w:style w:type="paragraph" w:styleId="2">
    <w:name w:val="heading 1"/>
    <w:basedOn w:val="1"/>
    <w:next w:val="1"/>
    <w:link w:val="38"/>
    <w:qFormat/>
    <w:uiPriority w:val="0"/>
    <w:pPr>
      <w:keepNext/>
      <w:keepLines/>
      <w:spacing w:before="480" w:after="120"/>
      <w:outlineLvl w:val="0"/>
    </w:pPr>
    <w:rPr>
      <w:b/>
      <w:sz w:val="48"/>
      <w:szCs w:val="48"/>
    </w:rPr>
  </w:style>
  <w:style w:type="paragraph" w:styleId="3">
    <w:name w:val="heading 2"/>
    <w:basedOn w:val="1"/>
    <w:next w:val="1"/>
    <w:link w:val="39"/>
    <w:unhideWhenUsed/>
    <w:qFormat/>
    <w:uiPriority w:val="0"/>
    <w:pPr>
      <w:keepNext/>
      <w:keepLines/>
      <w:spacing w:before="360" w:after="80"/>
      <w:outlineLvl w:val="1"/>
    </w:pPr>
    <w:rPr>
      <w:b/>
      <w:sz w:val="36"/>
      <w:szCs w:val="36"/>
    </w:rPr>
  </w:style>
  <w:style w:type="paragraph" w:styleId="4">
    <w:name w:val="heading 3"/>
    <w:basedOn w:val="1"/>
    <w:next w:val="1"/>
    <w:link w:val="40"/>
    <w:unhideWhenUsed/>
    <w:qFormat/>
    <w:uiPriority w:val="0"/>
    <w:pPr>
      <w:keepNext/>
      <w:keepLines/>
      <w:spacing w:before="280" w:after="80"/>
      <w:outlineLvl w:val="2"/>
    </w:pPr>
    <w:rPr>
      <w:b/>
      <w:sz w:val="28"/>
      <w:szCs w:val="28"/>
    </w:rPr>
  </w:style>
  <w:style w:type="paragraph" w:styleId="5">
    <w:name w:val="heading 4"/>
    <w:basedOn w:val="1"/>
    <w:next w:val="1"/>
    <w:link w:val="41"/>
    <w:unhideWhenUsed/>
    <w:qFormat/>
    <w:uiPriority w:val="0"/>
    <w:pPr>
      <w:keepNext/>
      <w:keepLines/>
      <w:spacing w:before="240" w:after="40"/>
      <w:outlineLvl w:val="3"/>
    </w:pPr>
    <w:rPr>
      <w:b/>
      <w:sz w:val="24"/>
      <w:szCs w:val="24"/>
    </w:rPr>
  </w:style>
  <w:style w:type="paragraph" w:styleId="6">
    <w:name w:val="heading 5"/>
    <w:basedOn w:val="1"/>
    <w:next w:val="1"/>
    <w:link w:val="42"/>
    <w:unhideWhenUsed/>
    <w:qFormat/>
    <w:uiPriority w:val="0"/>
    <w:pPr>
      <w:keepNext/>
      <w:keepLines/>
      <w:spacing w:before="220" w:after="40"/>
      <w:outlineLvl w:val="4"/>
    </w:pPr>
    <w:rPr>
      <w:b/>
      <w:sz w:val="22"/>
      <w:szCs w:val="22"/>
    </w:rPr>
  </w:style>
  <w:style w:type="paragraph" w:styleId="7">
    <w:name w:val="heading 6"/>
    <w:basedOn w:val="1"/>
    <w:next w:val="1"/>
    <w:link w:val="43"/>
    <w:unhideWhenUsed/>
    <w:qFormat/>
    <w:uiPriority w:val="0"/>
    <w:pPr>
      <w:keepNext/>
      <w:keepLines/>
      <w:spacing w:before="200" w:after="40"/>
      <w:outlineLvl w:val="5"/>
    </w:pPr>
    <w:rPr>
      <w:b/>
    </w:rPr>
  </w:style>
  <w:style w:type="paragraph" w:styleId="8">
    <w:name w:val="heading 7"/>
    <w:basedOn w:val="1"/>
    <w:next w:val="1"/>
    <w:link w:val="44"/>
    <w:uiPriority w:val="0"/>
    <w:pPr>
      <w:keepNext/>
      <w:keepLines/>
      <w:widowControl w:val="0"/>
      <w:suppressAutoHyphens/>
      <w:autoSpaceDN w:val="0"/>
      <w:spacing w:before="40"/>
      <w:textAlignment w:val="baseline"/>
      <w:outlineLvl w:val="6"/>
    </w:pPr>
    <w:rPr>
      <w:rFonts w:ascii="Calibri Light" w:hAnsi="Calibri Light"/>
      <w:i/>
      <w:iCs/>
      <w:color w:val="1F3763"/>
      <w:sz w:val="22"/>
      <w:szCs w:val="22"/>
    </w:rPr>
  </w:style>
  <w:style w:type="character" w:default="1" w:styleId="9">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character" w:styleId="11">
    <w:name w:val="Strong"/>
    <w:qFormat/>
    <w:uiPriority w:val="22"/>
    <w:rPr>
      <w:b/>
      <w:bCs/>
    </w:rPr>
  </w:style>
  <w:style w:type="character" w:styleId="12">
    <w:name w:val="annotation reference"/>
    <w:basedOn w:val="9"/>
    <w:unhideWhenUsed/>
    <w:qFormat/>
    <w:uiPriority w:val="0"/>
    <w:rPr>
      <w:sz w:val="16"/>
      <w:szCs w:val="16"/>
    </w:rPr>
  </w:style>
  <w:style w:type="character" w:styleId="13">
    <w:name w:val="FollowedHyperlink"/>
    <w:basedOn w:val="9"/>
    <w:semiHidden/>
    <w:unhideWhenUsed/>
    <w:qFormat/>
    <w:uiPriority w:val="99"/>
    <w:rPr>
      <w:color w:val="954F72"/>
      <w:u w:val="single"/>
    </w:rPr>
  </w:style>
  <w:style w:type="character" w:styleId="14">
    <w:name w:val="Emphasis"/>
    <w:qFormat/>
    <w:uiPriority w:val="20"/>
    <w:rPr>
      <w:i/>
      <w:iCs/>
    </w:rPr>
  </w:style>
  <w:style w:type="character" w:styleId="15">
    <w:name w:val="footnote reference"/>
    <w:basedOn w:val="9"/>
    <w:unhideWhenUsed/>
    <w:qFormat/>
    <w:uiPriority w:val="99"/>
    <w:rPr>
      <w:vertAlign w:val="superscript"/>
    </w:rPr>
  </w:style>
  <w:style w:type="character" w:styleId="16">
    <w:name w:val="Hyperlink"/>
    <w:basedOn w:val="9"/>
    <w:unhideWhenUsed/>
    <w:qFormat/>
    <w:uiPriority w:val="99"/>
    <w:rPr>
      <w:color w:val="0000FF"/>
      <w:u w:val="single"/>
    </w:rPr>
  </w:style>
  <w:style w:type="paragraph" w:styleId="17">
    <w:name w:val="List"/>
    <w:basedOn w:val="18"/>
    <w:uiPriority w:val="0"/>
    <w:rPr>
      <w:rFonts w:cs="Mangal"/>
    </w:rPr>
  </w:style>
  <w:style w:type="paragraph" w:customStyle="1" w:styleId="18">
    <w:name w:val="Text body"/>
    <w:basedOn w:val="19"/>
    <w:qFormat/>
    <w:uiPriority w:val="0"/>
    <w:pPr>
      <w:spacing w:after="140" w:line="276" w:lineRule="auto"/>
    </w:pPr>
  </w:style>
  <w:style w:type="paragraph" w:customStyle="1" w:styleId="19">
    <w:name w:val="Standard"/>
    <w:qFormat/>
    <w:uiPriority w:val="0"/>
    <w:pPr>
      <w:suppressAutoHyphens/>
      <w:autoSpaceDN w:val="0"/>
      <w:spacing w:after="62" w:line="348" w:lineRule="auto"/>
      <w:ind w:left="10" w:right="16" w:hanging="10"/>
      <w:jc w:val="both"/>
      <w:textAlignment w:val="baseline"/>
    </w:pPr>
    <w:rPr>
      <w:rFonts w:ascii="Liberation Serif" w:hAnsi="Liberation Serif" w:eastAsia="Liberation Serif" w:cs="Liberation Serif"/>
      <w:color w:val="000000"/>
      <w:sz w:val="24"/>
      <w:szCs w:val="22"/>
      <w:lang w:val="pt-BR" w:eastAsia="pt-BR" w:bidi="ar-SA"/>
    </w:rPr>
  </w:style>
  <w:style w:type="paragraph" w:styleId="20">
    <w:name w:val="Body Text"/>
    <w:basedOn w:val="1"/>
    <w:link w:val="45"/>
    <w:qFormat/>
    <w:uiPriority w:val="1"/>
    <w:pPr>
      <w:widowControl w:val="0"/>
      <w:suppressAutoHyphens/>
    </w:pPr>
    <w:rPr>
      <w:rFonts w:ascii="Arial" w:hAnsi="Arial" w:eastAsia="Arial" w:cs="Arial"/>
      <w:sz w:val="24"/>
      <w:szCs w:val="24"/>
      <w:lang w:val="pt-PT" w:eastAsia="en-US"/>
    </w:rPr>
  </w:style>
  <w:style w:type="paragraph" w:styleId="21">
    <w:name w:val="annotation text"/>
    <w:basedOn w:val="1"/>
    <w:link w:val="46"/>
    <w:unhideWhenUsed/>
    <w:qFormat/>
    <w:uiPriority w:val="0"/>
    <w:pPr>
      <w:suppressAutoHyphens/>
    </w:pPr>
    <w:rPr>
      <w:rFonts w:ascii="Calibri" w:hAnsi="Calibri" w:eastAsia="Calibri"/>
      <w:lang w:val="en-US" w:eastAsia="zh-CN"/>
    </w:rPr>
  </w:style>
  <w:style w:type="paragraph" w:styleId="22">
    <w:name w:val="Body Text Indent 2"/>
    <w:basedOn w:val="1"/>
    <w:link w:val="47"/>
    <w:qFormat/>
    <w:uiPriority w:val="0"/>
    <w:pPr>
      <w:spacing w:after="120" w:line="480" w:lineRule="auto"/>
      <w:ind w:left="283"/>
    </w:pPr>
    <w:rPr>
      <w:sz w:val="24"/>
      <w:szCs w:val="24"/>
    </w:rPr>
  </w:style>
  <w:style w:type="paragraph" w:styleId="23">
    <w:name w:val="Title"/>
    <w:basedOn w:val="1"/>
    <w:next w:val="1"/>
    <w:link w:val="48"/>
    <w:qFormat/>
    <w:uiPriority w:val="0"/>
    <w:pPr>
      <w:keepNext/>
      <w:keepLines/>
      <w:spacing w:before="480" w:after="120"/>
    </w:pPr>
    <w:rPr>
      <w:b/>
      <w:sz w:val="72"/>
      <w:szCs w:val="72"/>
    </w:rPr>
  </w:style>
  <w:style w:type="paragraph" w:styleId="24">
    <w:name w:val="Normal (Web)"/>
    <w:basedOn w:val="1"/>
    <w:unhideWhenUsed/>
    <w:qFormat/>
    <w:uiPriority w:val="99"/>
    <w:pPr>
      <w:spacing w:before="100" w:beforeAutospacing="1" w:after="100" w:afterAutospacing="1"/>
    </w:pPr>
    <w:rPr>
      <w:sz w:val="24"/>
      <w:szCs w:val="24"/>
    </w:rPr>
  </w:style>
  <w:style w:type="paragraph" w:styleId="25">
    <w:name w:val="Body Text 3"/>
    <w:basedOn w:val="1"/>
    <w:link w:val="49"/>
    <w:unhideWhenUsed/>
    <w:qFormat/>
    <w:uiPriority w:val="99"/>
    <w:pPr>
      <w:spacing w:after="120" w:line="259" w:lineRule="auto"/>
    </w:pPr>
    <w:rPr>
      <w:rFonts w:asciiTheme="minorHAnsi" w:hAnsiTheme="minorHAnsi" w:eastAsiaTheme="minorHAnsi" w:cstheme="minorBidi"/>
      <w:sz w:val="16"/>
      <w:szCs w:val="16"/>
      <w:lang w:eastAsia="en-US"/>
    </w:rPr>
  </w:style>
  <w:style w:type="paragraph" w:styleId="26">
    <w:name w:val="HTML Preformatted"/>
    <w:basedOn w:val="1"/>
    <w:link w:val="50"/>
    <w:semiHidden/>
    <w:unhideWhenUsed/>
    <w:qFormat/>
    <w:uiPriority w:val="99"/>
    <w:rPr>
      <w:rFonts w:ascii="Consolas" w:hAnsi="Consolas" w:eastAsiaTheme="minorHAnsi" w:cstheme="minorBidi"/>
      <w:kern w:val="2"/>
      <w:lang w:eastAsia="en-US"/>
      <w14:ligatures w14:val="standardContextual"/>
    </w:rPr>
  </w:style>
  <w:style w:type="paragraph" w:styleId="27">
    <w:name w:val="header"/>
    <w:basedOn w:val="1"/>
    <w:link w:val="51"/>
    <w:qFormat/>
    <w:uiPriority w:val="99"/>
    <w:pPr>
      <w:tabs>
        <w:tab w:val="center" w:pos="4419"/>
        <w:tab w:val="right" w:pos="8838"/>
      </w:tabs>
    </w:pPr>
  </w:style>
  <w:style w:type="paragraph" w:styleId="28">
    <w:name w:val="annotation subject"/>
    <w:basedOn w:val="21"/>
    <w:next w:val="21"/>
    <w:link w:val="52"/>
    <w:unhideWhenUsed/>
    <w:qFormat/>
    <w:uiPriority w:val="0"/>
    <w:pPr>
      <w:suppressAutoHyphens w:val="0"/>
      <w:spacing w:after="160"/>
    </w:pPr>
    <w:rPr>
      <w:rFonts w:asciiTheme="minorHAnsi" w:hAnsiTheme="minorHAnsi" w:eastAsiaTheme="minorHAnsi" w:cstheme="minorBidi"/>
      <w:b/>
      <w:bCs/>
      <w:lang w:val="pt-BR" w:eastAsia="en-US"/>
    </w:rPr>
  </w:style>
  <w:style w:type="paragraph" w:styleId="29">
    <w:name w:val="footer"/>
    <w:basedOn w:val="1"/>
    <w:link w:val="54"/>
    <w:unhideWhenUsed/>
    <w:qFormat/>
    <w:uiPriority w:val="99"/>
    <w:pPr>
      <w:tabs>
        <w:tab w:val="center" w:pos="4252"/>
        <w:tab w:val="right" w:pos="8504"/>
      </w:tabs>
    </w:pPr>
  </w:style>
  <w:style w:type="paragraph" w:styleId="30">
    <w:name w:val="caption"/>
    <w:basedOn w:val="1"/>
    <w:next w:val="1"/>
    <w:unhideWhenUsed/>
    <w:qFormat/>
    <w:uiPriority w:val="0"/>
    <w:pPr>
      <w:spacing w:after="200"/>
    </w:pPr>
    <w:rPr>
      <w:rFonts w:ascii="Calibri" w:hAnsi="Calibri" w:eastAsia="Calibri" w:cs="Calibri"/>
      <w:i/>
      <w:iCs/>
      <w:color w:val="1F497D" w:themeColor="text2"/>
      <w:sz w:val="18"/>
      <w:szCs w:val="18"/>
      <w14:textFill>
        <w14:solidFill>
          <w14:schemeClr w14:val="tx2"/>
        </w14:solidFill>
      </w14:textFill>
    </w:rPr>
  </w:style>
  <w:style w:type="paragraph" w:styleId="31">
    <w:name w:val="Body Text Indent 3"/>
    <w:basedOn w:val="1"/>
    <w:link w:val="55"/>
    <w:uiPriority w:val="0"/>
    <w:pPr>
      <w:spacing w:line="360" w:lineRule="auto"/>
      <w:ind w:firstLine="2552"/>
      <w:jc w:val="both"/>
    </w:pPr>
    <w:rPr>
      <w:rFonts w:ascii="Arial" w:hAnsi="Arial"/>
      <w:sz w:val="24"/>
    </w:rPr>
  </w:style>
  <w:style w:type="paragraph" w:styleId="32">
    <w:name w:val="Balloon Text"/>
    <w:basedOn w:val="1"/>
    <w:link w:val="56"/>
    <w:unhideWhenUsed/>
    <w:qFormat/>
    <w:uiPriority w:val="99"/>
    <w:rPr>
      <w:rFonts w:ascii="Segoe UI" w:hAnsi="Segoe UI" w:cs="Segoe UI" w:eastAsiaTheme="minorHAnsi"/>
      <w:sz w:val="18"/>
      <w:szCs w:val="18"/>
      <w:lang w:eastAsia="en-US"/>
    </w:rPr>
  </w:style>
  <w:style w:type="paragraph" w:styleId="33">
    <w:name w:val="Subtitle"/>
    <w:basedOn w:val="1"/>
    <w:next w:val="1"/>
    <w:link w:val="57"/>
    <w:qFormat/>
    <w:uiPriority w:val="0"/>
    <w:pPr>
      <w:keepNext/>
      <w:keepLines/>
      <w:spacing w:before="360" w:after="80"/>
    </w:pPr>
    <w:rPr>
      <w:rFonts w:ascii="Georgia" w:hAnsi="Georgia" w:eastAsia="Georgia" w:cs="Georgia"/>
      <w:i/>
      <w:color w:val="666666"/>
      <w:sz w:val="48"/>
      <w:szCs w:val="48"/>
    </w:rPr>
  </w:style>
  <w:style w:type="paragraph" w:styleId="34">
    <w:name w:val="footnote text"/>
    <w:basedOn w:val="1"/>
    <w:link w:val="58"/>
    <w:unhideWhenUsed/>
    <w:uiPriority w:val="99"/>
    <w:rPr>
      <w:rFonts w:asciiTheme="minorHAnsi" w:hAnsiTheme="minorHAnsi" w:eastAsiaTheme="minorHAnsi" w:cstheme="minorBidi"/>
      <w:lang w:eastAsia="en-US"/>
    </w:rPr>
  </w:style>
  <w:style w:type="paragraph" w:styleId="35">
    <w:name w:val="List Bullet"/>
    <w:basedOn w:val="1"/>
    <w:unhideWhenUsed/>
    <w:qFormat/>
    <w:uiPriority w:val="99"/>
    <w:pPr>
      <w:numPr>
        <w:ilvl w:val="0"/>
        <w:numId w:val="1"/>
      </w:numPr>
      <w:spacing w:after="160" w:line="259" w:lineRule="auto"/>
      <w:contextualSpacing/>
    </w:pPr>
    <w:rPr>
      <w:rFonts w:asciiTheme="minorHAnsi" w:hAnsiTheme="minorHAnsi" w:eastAsiaTheme="minorHAnsi" w:cstheme="minorBidi"/>
      <w:sz w:val="22"/>
      <w:szCs w:val="22"/>
      <w:lang w:eastAsia="en-US"/>
    </w:rPr>
  </w:style>
  <w:style w:type="paragraph" w:styleId="36">
    <w:name w:val="Body Text Indent"/>
    <w:basedOn w:val="1"/>
    <w:link w:val="59"/>
    <w:unhideWhenUsed/>
    <w:uiPriority w:val="0"/>
    <w:pPr>
      <w:widowControl w:val="0"/>
      <w:autoSpaceDE w:val="0"/>
      <w:autoSpaceDN w:val="0"/>
      <w:spacing w:after="120"/>
      <w:ind w:left="283"/>
    </w:pPr>
    <w:rPr>
      <w:rFonts w:ascii="Century Gothic" w:hAnsi="Century Gothic" w:eastAsia="Century Gothic" w:cs="Century Gothic"/>
      <w:sz w:val="22"/>
      <w:szCs w:val="22"/>
      <w:lang w:val="pt-PT" w:eastAsia="en-US"/>
    </w:rPr>
  </w:style>
  <w:style w:type="table" w:styleId="37">
    <w:name w:val="Table Grid"/>
    <w:basedOn w:val="10"/>
    <w:qFormat/>
    <w:uiPriority w:val="59"/>
    <w:rPr>
      <w:rFonts w:asciiTheme="minorHAnsi" w:hAnsiTheme="minorHAnsi" w:eastAsiaTheme="minorHAnsi" w:cstheme="minorBid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8">
    <w:name w:val="Título 1 Char"/>
    <w:basedOn w:val="9"/>
    <w:link w:val="2"/>
    <w:qFormat/>
    <w:uiPriority w:val="0"/>
    <w:rPr>
      <w:b/>
      <w:sz w:val="48"/>
      <w:szCs w:val="48"/>
    </w:rPr>
  </w:style>
  <w:style w:type="character" w:customStyle="1" w:styleId="39">
    <w:name w:val="Título 2 Char"/>
    <w:basedOn w:val="9"/>
    <w:link w:val="3"/>
    <w:qFormat/>
    <w:uiPriority w:val="0"/>
    <w:rPr>
      <w:b/>
      <w:sz w:val="36"/>
      <w:szCs w:val="36"/>
    </w:rPr>
  </w:style>
  <w:style w:type="character" w:customStyle="1" w:styleId="40">
    <w:name w:val="Título 3 Char"/>
    <w:basedOn w:val="9"/>
    <w:link w:val="4"/>
    <w:qFormat/>
    <w:uiPriority w:val="0"/>
    <w:rPr>
      <w:b/>
      <w:sz w:val="28"/>
      <w:szCs w:val="28"/>
    </w:rPr>
  </w:style>
  <w:style w:type="character" w:customStyle="1" w:styleId="41">
    <w:name w:val="Título 4 Char"/>
    <w:basedOn w:val="9"/>
    <w:link w:val="5"/>
    <w:qFormat/>
    <w:uiPriority w:val="0"/>
    <w:rPr>
      <w:b/>
      <w:sz w:val="24"/>
      <w:szCs w:val="24"/>
    </w:rPr>
  </w:style>
  <w:style w:type="character" w:customStyle="1" w:styleId="42">
    <w:name w:val="Título 5 Char"/>
    <w:basedOn w:val="9"/>
    <w:link w:val="6"/>
    <w:qFormat/>
    <w:uiPriority w:val="0"/>
    <w:rPr>
      <w:b/>
      <w:sz w:val="22"/>
      <w:szCs w:val="22"/>
    </w:rPr>
  </w:style>
  <w:style w:type="character" w:customStyle="1" w:styleId="43">
    <w:name w:val="Título 6 Char"/>
    <w:basedOn w:val="9"/>
    <w:link w:val="7"/>
    <w:qFormat/>
    <w:uiPriority w:val="0"/>
    <w:rPr>
      <w:b/>
    </w:rPr>
  </w:style>
  <w:style w:type="character" w:customStyle="1" w:styleId="44">
    <w:name w:val="Título 7 Char"/>
    <w:basedOn w:val="9"/>
    <w:link w:val="8"/>
    <w:qFormat/>
    <w:uiPriority w:val="0"/>
    <w:rPr>
      <w:rFonts w:ascii="Calibri Light" w:hAnsi="Calibri Light"/>
      <w:i/>
      <w:iCs/>
      <w:color w:val="1F3763"/>
      <w:sz w:val="22"/>
      <w:szCs w:val="22"/>
    </w:rPr>
  </w:style>
  <w:style w:type="character" w:customStyle="1" w:styleId="45">
    <w:name w:val="Corpo de texto Char"/>
    <w:basedOn w:val="9"/>
    <w:link w:val="20"/>
    <w:qFormat/>
    <w:uiPriority w:val="1"/>
    <w:rPr>
      <w:rFonts w:ascii="Arial" w:hAnsi="Arial" w:eastAsia="Arial" w:cs="Arial"/>
      <w:sz w:val="24"/>
      <w:szCs w:val="24"/>
      <w:lang w:val="pt-PT" w:eastAsia="en-US"/>
    </w:rPr>
  </w:style>
  <w:style w:type="character" w:customStyle="1" w:styleId="46">
    <w:name w:val="Texto de comentário Char"/>
    <w:basedOn w:val="9"/>
    <w:link w:val="21"/>
    <w:qFormat/>
    <w:uiPriority w:val="0"/>
    <w:rPr>
      <w:rFonts w:ascii="Calibri" w:hAnsi="Calibri" w:eastAsia="Calibri"/>
      <w:lang w:val="en-US" w:eastAsia="zh-CN"/>
    </w:rPr>
  </w:style>
  <w:style w:type="character" w:customStyle="1" w:styleId="47">
    <w:name w:val="Recuo de corpo de texto 2 Char"/>
    <w:basedOn w:val="9"/>
    <w:link w:val="22"/>
    <w:qFormat/>
    <w:uiPriority w:val="0"/>
    <w:rPr>
      <w:sz w:val="24"/>
      <w:szCs w:val="24"/>
    </w:rPr>
  </w:style>
  <w:style w:type="character" w:customStyle="1" w:styleId="48">
    <w:name w:val="Título Char"/>
    <w:basedOn w:val="9"/>
    <w:link w:val="23"/>
    <w:qFormat/>
    <w:uiPriority w:val="0"/>
    <w:rPr>
      <w:b/>
      <w:sz w:val="72"/>
      <w:szCs w:val="72"/>
    </w:rPr>
  </w:style>
  <w:style w:type="character" w:customStyle="1" w:styleId="49">
    <w:name w:val="Corpo de texto 3 Char"/>
    <w:basedOn w:val="9"/>
    <w:link w:val="25"/>
    <w:qFormat/>
    <w:uiPriority w:val="99"/>
    <w:rPr>
      <w:rFonts w:asciiTheme="minorHAnsi" w:hAnsiTheme="minorHAnsi" w:eastAsiaTheme="minorHAnsi" w:cstheme="minorBidi"/>
      <w:sz w:val="16"/>
      <w:szCs w:val="16"/>
      <w:lang w:eastAsia="en-US"/>
    </w:rPr>
  </w:style>
  <w:style w:type="character" w:customStyle="1" w:styleId="50">
    <w:name w:val="Pré-formatação HTML Char"/>
    <w:basedOn w:val="9"/>
    <w:link w:val="26"/>
    <w:semiHidden/>
    <w:qFormat/>
    <w:uiPriority w:val="99"/>
    <w:rPr>
      <w:rFonts w:ascii="Consolas" w:hAnsi="Consolas" w:eastAsiaTheme="minorHAnsi" w:cstheme="minorBidi"/>
      <w:kern w:val="2"/>
      <w:lang w:eastAsia="en-US"/>
      <w14:ligatures w14:val="standardContextual"/>
    </w:rPr>
  </w:style>
  <w:style w:type="character" w:customStyle="1" w:styleId="51">
    <w:name w:val="Cabeçalho Char"/>
    <w:basedOn w:val="9"/>
    <w:link w:val="27"/>
    <w:qFormat/>
    <w:uiPriority w:val="99"/>
    <w:rPr>
      <w:rFonts w:ascii="Times New Roman" w:hAnsi="Times New Roman" w:eastAsia="Times New Roman" w:cs="Times New Roman"/>
      <w:sz w:val="20"/>
      <w:szCs w:val="20"/>
      <w:lang w:eastAsia="pt-BR"/>
    </w:rPr>
  </w:style>
  <w:style w:type="character" w:customStyle="1" w:styleId="52">
    <w:name w:val="Assunto do comentário Char"/>
    <w:basedOn w:val="53"/>
    <w:link w:val="28"/>
    <w:qFormat/>
    <w:uiPriority w:val="0"/>
    <w:rPr>
      <w:rFonts w:asciiTheme="minorHAnsi" w:hAnsiTheme="minorHAnsi" w:eastAsiaTheme="minorHAnsi" w:cstheme="minorBidi"/>
      <w:b/>
      <w:bCs/>
      <w:lang w:eastAsia="en-US"/>
    </w:rPr>
  </w:style>
  <w:style w:type="character" w:customStyle="1" w:styleId="53">
    <w:name w:val="Texto de comentário Char1"/>
    <w:basedOn w:val="9"/>
    <w:semiHidden/>
    <w:qFormat/>
    <w:uiPriority w:val="99"/>
  </w:style>
  <w:style w:type="character" w:customStyle="1" w:styleId="54">
    <w:name w:val="Rodapé Char"/>
    <w:basedOn w:val="9"/>
    <w:link w:val="29"/>
    <w:qFormat/>
    <w:uiPriority w:val="99"/>
    <w:rPr>
      <w:rFonts w:ascii="Times New Roman" w:hAnsi="Times New Roman" w:eastAsia="Times New Roman" w:cs="Times New Roman"/>
      <w:sz w:val="20"/>
      <w:szCs w:val="20"/>
      <w:lang w:eastAsia="pt-BR"/>
    </w:rPr>
  </w:style>
  <w:style w:type="character" w:customStyle="1" w:styleId="55">
    <w:name w:val="Recuo de corpo de texto 3 Char"/>
    <w:basedOn w:val="9"/>
    <w:link w:val="31"/>
    <w:uiPriority w:val="0"/>
    <w:rPr>
      <w:rFonts w:ascii="Arial" w:hAnsi="Arial"/>
      <w:sz w:val="24"/>
    </w:rPr>
  </w:style>
  <w:style w:type="character" w:customStyle="1" w:styleId="56">
    <w:name w:val="Texto de balão Char"/>
    <w:basedOn w:val="9"/>
    <w:link w:val="32"/>
    <w:qFormat/>
    <w:uiPriority w:val="99"/>
    <w:rPr>
      <w:rFonts w:ascii="Segoe UI" w:hAnsi="Segoe UI" w:cs="Segoe UI" w:eastAsiaTheme="minorHAnsi"/>
      <w:sz w:val="18"/>
      <w:szCs w:val="18"/>
      <w:lang w:eastAsia="en-US"/>
    </w:rPr>
  </w:style>
  <w:style w:type="character" w:customStyle="1" w:styleId="57">
    <w:name w:val="Subtítulo Char"/>
    <w:basedOn w:val="9"/>
    <w:link w:val="33"/>
    <w:qFormat/>
    <w:uiPriority w:val="0"/>
    <w:rPr>
      <w:rFonts w:ascii="Georgia" w:hAnsi="Georgia" w:eastAsia="Georgia" w:cs="Georgia"/>
      <w:i/>
      <w:color w:val="666666"/>
      <w:sz w:val="48"/>
      <w:szCs w:val="48"/>
    </w:rPr>
  </w:style>
  <w:style w:type="character" w:customStyle="1" w:styleId="58">
    <w:name w:val="Texto de nota de rodapé Char"/>
    <w:basedOn w:val="9"/>
    <w:link w:val="34"/>
    <w:uiPriority w:val="99"/>
    <w:rPr>
      <w:rFonts w:asciiTheme="minorHAnsi" w:hAnsiTheme="minorHAnsi" w:eastAsiaTheme="minorHAnsi" w:cstheme="minorBidi"/>
      <w:lang w:eastAsia="en-US"/>
    </w:rPr>
  </w:style>
  <w:style w:type="character" w:customStyle="1" w:styleId="59">
    <w:name w:val="Recuo de corpo de texto Char"/>
    <w:basedOn w:val="9"/>
    <w:link w:val="36"/>
    <w:uiPriority w:val="0"/>
    <w:rPr>
      <w:rFonts w:ascii="Century Gothic" w:hAnsi="Century Gothic" w:eastAsia="Century Gothic" w:cs="Century Gothic"/>
      <w:sz w:val="22"/>
      <w:szCs w:val="22"/>
      <w:lang w:val="pt-PT" w:eastAsia="en-US"/>
    </w:rPr>
  </w:style>
  <w:style w:type="table" w:customStyle="1" w:styleId="60">
    <w:name w:val="Table Normal"/>
    <w:qFormat/>
    <w:uiPriority w:val="2"/>
    <w:tblPr>
      <w:tblCellMar>
        <w:top w:w="0" w:type="dxa"/>
        <w:left w:w="0" w:type="dxa"/>
        <w:bottom w:w="0" w:type="dxa"/>
        <w:right w:w="0" w:type="dxa"/>
      </w:tblCellMar>
    </w:tblPr>
  </w:style>
  <w:style w:type="paragraph" w:styleId="61">
    <w:name w:val="List Paragraph"/>
    <w:basedOn w:val="1"/>
    <w:link w:val="62"/>
    <w:qFormat/>
    <w:uiPriority w:val="1"/>
    <w:pPr>
      <w:ind w:left="720"/>
      <w:contextualSpacing/>
    </w:pPr>
  </w:style>
  <w:style w:type="character" w:customStyle="1" w:styleId="62">
    <w:name w:val="Parágrafo da Lista Char"/>
    <w:link w:val="61"/>
    <w:qFormat/>
    <w:uiPriority w:val="34"/>
  </w:style>
  <w:style w:type="table" w:customStyle="1" w:styleId="63">
    <w:name w:val="_Style 17"/>
    <w:basedOn w:val="60"/>
    <w:uiPriority w:val="0"/>
    <w:tblPr>
      <w:tblCellMar>
        <w:left w:w="115" w:type="dxa"/>
        <w:right w:w="115" w:type="dxa"/>
      </w:tblCellMar>
    </w:tblPr>
  </w:style>
  <w:style w:type="table" w:customStyle="1" w:styleId="64">
    <w:name w:val="_Style 18"/>
    <w:basedOn w:val="60"/>
    <w:uiPriority w:val="0"/>
    <w:tblPr>
      <w:tblCellMar>
        <w:left w:w="115" w:type="dxa"/>
        <w:right w:w="115" w:type="dxa"/>
      </w:tblCellMar>
    </w:tblPr>
  </w:style>
  <w:style w:type="table" w:customStyle="1" w:styleId="65">
    <w:name w:val="_Style 19"/>
    <w:basedOn w:val="60"/>
    <w:uiPriority w:val="0"/>
    <w:tblPr>
      <w:tblCellMar>
        <w:left w:w="115" w:type="dxa"/>
        <w:right w:w="115" w:type="dxa"/>
      </w:tblCellMar>
    </w:tblPr>
  </w:style>
  <w:style w:type="table" w:customStyle="1" w:styleId="66">
    <w:name w:val="_Style 20"/>
    <w:basedOn w:val="60"/>
    <w:uiPriority w:val="0"/>
    <w:tblPr>
      <w:tblCellMar>
        <w:left w:w="115" w:type="dxa"/>
        <w:right w:w="115" w:type="dxa"/>
      </w:tblCellMar>
    </w:tblPr>
  </w:style>
  <w:style w:type="table" w:customStyle="1" w:styleId="67">
    <w:name w:val="_Style 21"/>
    <w:basedOn w:val="60"/>
    <w:uiPriority w:val="0"/>
    <w:tblPr>
      <w:tblCellMar>
        <w:left w:w="115" w:type="dxa"/>
        <w:right w:w="115" w:type="dxa"/>
      </w:tblCellMar>
    </w:tblPr>
  </w:style>
  <w:style w:type="table" w:customStyle="1" w:styleId="68">
    <w:name w:val="_Style 22"/>
    <w:basedOn w:val="60"/>
    <w:uiPriority w:val="0"/>
    <w:tblPr>
      <w:tblCellMar>
        <w:left w:w="115" w:type="dxa"/>
        <w:right w:w="115" w:type="dxa"/>
      </w:tblCellMar>
    </w:tblPr>
  </w:style>
  <w:style w:type="table" w:customStyle="1" w:styleId="69">
    <w:name w:val="_Style 23"/>
    <w:basedOn w:val="60"/>
    <w:uiPriority w:val="0"/>
    <w:tblPr>
      <w:tblCellMar>
        <w:left w:w="70" w:type="dxa"/>
        <w:right w:w="70" w:type="dxa"/>
      </w:tblCellMar>
    </w:tblPr>
  </w:style>
  <w:style w:type="paragraph" w:customStyle="1" w:styleId="70">
    <w:name w:val="TEXTO"/>
    <w:basedOn w:val="1"/>
    <w:autoRedefine/>
    <w:qFormat/>
    <w:uiPriority w:val="0"/>
    <w:pPr>
      <w:suppressAutoHyphens/>
      <w:spacing w:line="360" w:lineRule="auto"/>
      <w:ind w:left="142" w:right="537"/>
      <w:jc w:val="both"/>
    </w:pPr>
    <w:rPr>
      <w:rFonts w:eastAsia="Cambria Math" w:asciiTheme="minorHAnsi" w:hAnsiTheme="minorHAnsi" w:cstheme="minorHAnsi"/>
      <w:color w:val="000000" w:themeColor="text1"/>
      <w:sz w:val="24"/>
      <w:szCs w:val="24"/>
      <w14:textFill>
        <w14:solidFill>
          <w14:schemeClr w14:val="tx1"/>
        </w14:solidFill>
      </w14:textFill>
    </w:rPr>
  </w:style>
  <w:style w:type="paragraph" w:customStyle="1" w:styleId="71">
    <w:name w:val="WW-Texto sem formatação"/>
    <w:basedOn w:val="1"/>
    <w:qFormat/>
    <w:uiPriority w:val="0"/>
    <w:pPr>
      <w:suppressAutoHyphens/>
    </w:pPr>
    <w:rPr>
      <w:rFonts w:ascii="Courier New" w:hAnsi="Courier New" w:cs="Courier New"/>
      <w:lang w:eastAsia="ar-SA"/>
    </w:rPr>
  </w:style>
  <w:style w:type="character" w:customStyle="1" w:styleId="72">
    <w:name w:val="Footnote Characters"/>
    <w:basedOn w:val="9"/>
    <w:semiHidden/>
    <w:unhideWhenUsed/>
    <w:qFormat/>
    <w:uiPriority w:val="99"/>
    <w:rPr>
      <w:vertAlign w:val="superscript"/>
    </w:rPr>
  </w:style>
  <w:style w:type="paragraph" w:customStyle="1" w:styleId="73">
    <w:name w:val="Table Paragraph"/>
    <w:basedOn w:val="1"/>
    <w:qFormat/>
    <w:uiPriority w:val="1"/>
    <w:pPr>
      <w:widowControl w:val="0"/>
      <w:suppressAutoHyphens/>
      <w:spacing w:before="115"/>
      <w:ind w:left="107"/>
    </w:pPr>
    <w:rPr>
      <w:rFonts w:ascii="Arial" w:hAnsi="Arial" w:eastAsia="Arial" w:cs="Arial"/>
      <w:sz w:val="22"/>
      <w:szCs w:val="22"/>
      <w:lang w:val="pt-PT" w:eastAsia="en-US"/>
    </w:rPr>
  </w:style>
  <w:style w:type="paragraph" w:customStyle="1" w:styleId="74">
    <w:name w:val="Default"/>
    <w:link w:val="75"/>
    <w:qFormat/>
    <w:uiPriority w:val="0"/>
    <w:pPr>
      <w:autoSpaceDE w:val="0"/>
      <w:autoSpaceDN w:val="0"/>
      <w:adjustRightInd w:val="0"/>
    </w:pPr>
    <w:rPr>
      <w:rFonts w:ascii="Minion Pro" w:hAnsi="Minion Pro" w:cs="Minion Pro" w:eastAsiaTheme="minorHAnsi"/>
      <w:color w:val="000000"/>
      <w:sz w:val="24"/>
      <w:szCs w:val="24"/>
      <w:lang w:val="pt-BR" w:eastAsia="en-US" w:bidi="ar-SA"/>
    </w:rPr>
  </w:style>
  <w:style w:type="character" w:customStyle="1" w:styleId="75">
    <w:name w:val="Default Char"/>
    <w:link w:val="74"/>
    <w:qFormat/>
    <w:uiPriority w:val="0"/>
    <w:rPr>
      <w:rFonts w:ascii="Minion Pro" w:hAnsi="Minion Pro" w:cs="Minion Pro" w:eastAsiaTheme="minorHAnsi"/>
      <w:color w:val="000000"/>
      <w:sz w:val="24"/>
      <w:szCs w:val="24"/>
      <w:lang w:eastAsia="en-US"/>
    </w:rPr>
  </w:style>
  <w:style w:type="character" w:customStyle="1" w:styleId="76">
    <w:name w:val="Menção Pendente1"/>
    <w:basedOn w:val="9"/>
    <w:semiHidden/>
    <w:unhideWhenUsed/>
    <w:uiPriority w:val="99"/>
    <w:rPr>
      <w:color w:val="605E5C"/>
      <w:shd w:val="clear" w:color="auto" w:fill="E1DFDD"/>
    </w:rPr>
  </w:style>
  <w:style w:type="paragraph" w:customStyle="1" w:styleId="77">
    <w:name w:val="Normal1"/>
    <w:qFormat/>
    <w:uiPriority w:val="0"/>
    <w:pPr>
      <w:spacing w:line="276" w:lineRule="auto"/>
    </w:pPr>
    <w:rPr>
      <w:rFonts w:ascii="Arial" w:hAnsi="Arial" w:eastAsia="Arial" w:cs="Arial"/>
      <w:sz w:val="22"/>
      <w:szCs w:val="22"/>
      <w:lang w:val="pt-BR" w:eastAsia="pt-BR" w:bidi="ar-SA"/>
    </w:rPr>
  </w:style>
  <w:style w:type="table" w:customStyle="1" w:styleId="78">
    <w:name w:val="Tabela com grade1"/>
    <w:basedOn w:val="10"/>
    <w:qFormat/>
    <w:uiPriority w:val="39"/>
    <w:rPr>
      <w:rFonts w:asciiTheme="minorHAnsi" w:hAnsiTheme="minorHAnsi" w:eastAsiaTheme="minorHAnsi" w:cstheme="minorBidi"/>
      <w:sz w:val="22"/>
      <w:szCs w:val="22"/>
      <w:lang w:eastAsia="en-US"/>
    </w:r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table" w:customStyle="1" w:styleId="79">
    <w:name w:val="Tabela com grade2"/>
    <w:basedOn w:val="10"/>
    <w:uiPriority w:val="59"/>
    <w:rPr>
      <w:rFonts w:asciiTheme="minorHAnsi" w:hAnsiTheme="minorHAnsi" w:eastAsiaTheme="minorHAnsi" w:cstheme="minorBidi"/>
      <w:sz w:val="22"/>
      <w:szCs w:val="22"/>
      <w:lang w:eastAsia="en-US"/>
    </w:r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paragraph" w:customStyle="1" w:styleId="80">
    <w:name w:val="t1"/>
    <w:basedOn w:val="1"/>
    <w:uiPriority w:val="0"/>
    <w:pPr>
      <w:widowControl w:val="0"/>
      <w:autoSpaceDE w:val="0"/>
      <w:autoSpaceDN w:val="0"/>
      <w:adjustRightInd w:val="0"/>
      <w:spacing w:line="240" w:lineRule="atLeast"/>
    </w:pPr>
    <w:rPr>
      <w:sz w:val="24"/>
      <w:szCs w:val="24"/>
      <w:lang w:val="en-US"/>
    </w:rPr>
  </w:style>
  <w:style w:type="character" w:customStyle="1" w:styleId="81">
    <w:name w:val="apple-converted-space"/>
    <w:qFormat/>
    <w:uiPriority w:val="0"/>
  </w:style>
  <w:style w:type="paragraph" w:customStyle="1" w:styleId="82">
    <w:name w:val="TCU - Epígrafe"/>
    <w:basedOn w:val="1"/>
    <w:qFormat/>
    <w:uiPriority w:val="0"/>
    <w:pPr>
      <w:ind w:left="2835"/>
      <w:jc w:val="both"/>
    </w:pPr>
    <w:rPr>
      <w:sz w:val="24"/>
    </w:rPr>
  </w:style>
  <w:style w:type="paragraph" w:customStyle="1" w:styleId="83">
    <w:name w:val="TCU - Sem Recuo"/>
    <w:basedOn w:val="1"/>
    <w:qFormat/>
    <w:uiPriority w:val="0"/>
    <w:pPr>
      <w:tabs>
        <w:tab w:val="left" w:pos="1134"/>
      </w:tabs>
      <w:spacing w:after="160"/>
      <w:jc w:val="both"/>
    </w:pPr>
    <w:rPr>
      <w:sz w:val="24"/>
    </w:rPr>
  </w:style>
  <w:style w:type="paragraph" w:customStyle="1" w:styleId="84">
    <w:name w:val="TCU - Rel/Voto - demais §§"/>
    <w:basedOn w:val="1"/>
    <w:qFormat/>
    <w:uiPriority w:val="0"/>
    <w:pPr>
      <w:tabs>
        <w:tab w:val="left" w:pos="1134"/>
      </w:tabs>
      <w:spacing w:after="160"/>
      <w:jc w:val="both"/>
    </w:pPr>
    <w:rPr>
      <w:sz w:val="24"/>
      <w:szCs w:val="22"/>
      <w:lang w:eastAsia="en-US"/>
    </w:rPr>
  </w:style>
  <w:style w:type="paragraph" w:customStyle="1" w:styleId="85">
    <w:name w:val="corpo de texto"/>
    <w:basedOn w:val="31"/>
    <w:qFormat/>
    <w:uiPriority w:val="0"/>
    <w:pPr>
      <w:spacing w:line="240" w:lineRule="auto"/>
      <w:ind w:firstLine="1134"/>
    </w:pPr>
    <w:rPr>
      <w:rFonts w:ascii="Times New Roman" w:hAnsi="Times New Roman"/>
    </w:rPr>
  </w:style>
  <w:style w:type="character" w:customStyle="1" w:styleId="86">
    <w:name w:val="titulo"/>
    <w:qFormat/>
    <w:uiPriority w:val="0"/>
  </w:style>
  <w:style w:type="character" w:customStyle="1" w:styleId="87">
    <w:name w:val="corpojustificado"/>
    <w:qFormat/>
    <w:uiPriority w:val="0"/>
  </w:style>
  <w:style w:type="paragraph" w:customStyle="1" w:styleId="88">
    <w:name w:val="04partenormativa"/>
    <w:basedOn w:val="1"/>
    <w:qFormat/>
    <w:uiPriority w:val="0"/>
    <w:pPr>
      <w:spacing w:before="100" w:beforeAutospacing="1" w:after="100" w:afterAutospacing="1"/>
    </w:pPr>
    <w:rPr>
      <w:sz w:val="24"/>
      <w:szCs w:val="24"/>
    </w:rPr>
  </w:style>
  <w:style w:type="paragraph" w:customStyle="1" w:styleId="89">
    <w:name w:val="Style 2"/>
    <w:basedOn w:val="1"/>
    <w:qFormat/>
    <w:uiPriority w:val="99"/>
    <w:pPr>
      <w:widowControl w:val="0"/>
      <w:autoSpaceDE w:val="0"/>
      <w:autoSpaceDN w:val="0"/>
      <w:ind w:firstLine="288"/>
      <w:jc w:val="both"/>
    </w:pPr>
    <w:rPr>
      <w:sz w:val="19"/>
      <w:szCs w:val="19"/>
    </w:rPr>
  </w:style>
  <w:style w:type="character" w:customStyle="1" w:styleId="90">
    <w:name w:val="Character Style 1"/>
    <w:qFormat/>
    <w:uiPriority w:val="99"/>
    <w:rPr>
      <w:sz w:val="19"/>
      <w:szCs w:val="19"/>
    </w:rPr>
  </w:style>
  <w:style w:type="paragraph" w:customStyle="1" w:styleId="91">
    <w:name w:val="Style 3"/>
    <w:basedOn w:val="1"/>
    <w:qFormat/>
    <w:uiPriority w:val="99"/>
    <w:pPr>
      <w:widowControl w:val="0"/>
      <w:autoSpaceDE w:val="0"/>
      <w:autoSpaceDN w:val="0"/>
      <w:spacing w:before="324" w:line="360" w:lineRule="auto"/>
      <w:ind w:right="144"/>
      <w:jc w:val="both"/>
    </w:pPr>
    <w:rPr>
      <w:rFonts w:ascii="Arial" w:hAnsi="Arial" w:cs="Arial"/>
      <w:sz w:val="23"/>
      <w:szCs w:val="23"/>
    </w:rPr>
  </w:style>
  <w:style w:type="character" w:customStyle="1" w:styleId="92">
    <w:name w:val="Character Style 2"/>
    <w:qFormat/>
    <w:uiPriority w:val="99"/>
    <w:rPr>
      <w:sz w:val="20"/>
      <w:szCs w:val="20"/>
    </w:rPr>
  </w:style>
  <w:style w:type="paragraph" w:customStyle="1" w:styleId="93">
    <w:name w:val="textbody"/>
    <w:basedOn w:val="1"/>
    <w:qFormat/>
    <w:uiPriority w:val="0"/>
    <w:pPr>
      <w:spacing w:before="100" w:beforeAutospacing="1" w:after="100" w:afterAutospacing="1"/>
    </w:pPr>
    <w:rPr>
      <w:sz w:val="24"/>
      <w:szCs w:val="24"/>
    </w:rPr>
  </w:style>
  <w:style w:type="paragraph" w:customStyle="1" w:styleId="94">
    <w:name w:val="tcu_-_transcrição"/>
    <w:basedOn w:val="1"/>
    <w:qFormat/>
    <w:uiPriority w:val="0"/>
    <w:pPr>
      <w:spacing w:before="100" w:beforeAutospacing="1" w:after="100" w:afterAutospacing="1"/>
    </w:pPr>
    <w:rPr>
      <w:sz w:val="24"/>
      <w:szCs w:val="24"/>
    </w:rPr>
  </w:style>
  <w:style w:type="paragraph" w:customStyle="1" w:styleId="95">
    <w:name w:val="tcu_-_rel/voto_-_demais_§§"/>
    <w:basedOn w:val="1"/>
    <w:qFormat/>
    <w:uiPriority w:val="0"/>
    <w:pPr>
      <w:spacing w:before="100" w:beforeAutospacing="1" w:after="100" w:afterAutospacing="1"/>
    </w:pPr>
    <w:rPr>
      <w:sz w:val="24"/>
      <w:szCs w:val="24"/>
    </w:rPr>
  </w:style>
  <w:style w:type="paragraph" w:customStyle="1" w:styleId="96">
    <w:name w:val="tcu_-_centralizado"/>
    <w:basedOn w:val="1"/>
    <w:qFormat/>
    <w:uiPriority w:val="0"/>
    <w:pPr>
      <w:spacing w:before="100" w:beforeAutospacing="1" w:after="100" w:afterAutospacing="1"/>
    </w:pPr>
    <w:rPr>
      <w:sz w:val="24"/>
      <w:szCs w:val="24"/>
    </w:rPr>
  </w:style>
  <w:style w:type="paragraph" w:customStyle="1" w:styleId="97">
    <w:name w:val="texto_justificado_recuo_primeira_linha"/>
    <w:basedOn w:val="1"/>
    <w:qFormat/>
    <w:uiPriority w:val="0"/>
    <w:pPr>
      <w:spacing w:before="100" w:beforeAutospacing="1" w:after="100" w:afterAutospacing="1"/>
    </w:pPr>
    <w:rPr>
      <w:sz w:val="24"/>
      <w:szCs w:val="24"/>
    </w:rPr>
  </w:style>
  <w:style w:type="paragraph" w:customStyle="1" w:styleId="98">
    <w:name w:val="citacao"/>
    <w:basedOn w:val="1"/>
    <w:qFormat/>
    <w:uiPriority w:val="0"/>
    <w:pPr>
      <w:spacing w:before="100" w:beforeAutospacing="1" w:after="100" w:afterAutospacing="1"/>
    </w:pPr>
    <w:rPr>
      <w:sz w:val="24"/>
      <w:szCs w:val="24"/>
    </w:rPr>
  </w:style>
  <w:style w:type="paragraph" w:customStyle="1" w:styleId="99">
    <w:name w:val="Nivel 2"/>
    <w:basedOn w:val="1"/>
    <w:link w:val="100"/>
    <w:qFormat/>
    <w:uiPriority w:val="0"/>
    <w:pPr>
      <w:spacing w:before="120" w:after="120" w:line="276" w:lineRule="auto"/>
      <w:ind w:left="4969" w:hanging="432"/>
      <w:jc w:val="both"/>
    </w:pPr>
    <w:rPr>
      <w:rFonts w:ascii="Arial" w:hAnsi="Arial" w:cs="Arial"/>
      <w:color w:val="000000"/>
    </w:rPr>
  </w:style>
  <w:style w:type="character" w:customStyle="1" w:styleId="100">
    <w:name w:val="Nivel 2 Char"/>
    <w:link w:val="99"/>
    <w:qFormat/>
    <w:locked/>
    <w:uiPriority w:val="0"/>
    <w:rPr>
      <w:rFonts w:ascii="Arial" w:hAnsi="Arial" w:cs="Arial"/>
      <w:color w:val="000000"/>
    </w:rPr>
  </w:style>
  <w:style w:type="paragraph" w:customStyle="1" w:styleId="101">
    <w:name w:val="Nivel 01"/>
    <w:basedOn w:val="2"/>
    <w:next w:val="1"/>
    <w:link w:val="102"/>
    <w:qFormat/>
    <w:uiPriority w:val="0"/>
    <w:pPr>
      <w:tabs>
        <w:tab w:val="left" w:pos="567"/>
      </w:tabs>
      <w:spacing w:before="240" w:after="0"/>
      <w:ind w:left="360" w:hanging="360"/>
      <w:jc w:val="both"/>
    </w:pPr>
    <w:rPr>
      <w:rFonts w:ascii="Arial" w:hAnsi="Arial" w:cs="Arial"/>
      <w:bCs/>
      <w:sz w:val="20"/>
      <w:szCs w:val="20"/>
    </w:rPr>
  </w:style>
  <w:style w:type="character" w:customStyle="1" w:styleId="102">
    <w:name w:val="Nivel 01 Char"/>
    <w:link w:val="101"/>
    <w:qFormat/>
    <w:uiPriority w:val="0"/>
    <w:rPr>
      <w:rFonts w:ascii="Arial" w:hAnsi="Arial" w:cs="Arial"/>
      <w:b/>
      <w:bCs/>
    </w:rPr>
  </w:style>
  <w:style w:type="paragraph" w:customStyle="1" w:styleId="103">
    <w:name w:val="Nivel 3"/>
    <w:basedOn w:val="1"/>
    <w:link w:val="104"/>
    <w:qFormat/>
    <w:uiPriority w:val="0"/>
    <w:pPr>
      <w:spacing w:before="120" w:after="120" w:line="276" w:lineRule="auto"/>
      <w:ind w:left="3198" w:hanging="504"/>
      <w:jc w:val="both"/>
    </w:pPr>
    <w:rPr>
      <w:rFonts w:ascii="Arial" w:hAnsi="Arial" w:cs="Arial"/>
      <w:color w:val="000000"/>
    </w:rPr>
  </w:style>
  <w:style w:type="character" w:customStyle="1" w:styleId="104">
    <w:name w:val="Nivel 3 Char"/>
    <w:link w:val="103"/>
    <w:qFormat/>
    <w:uiPriority w:val="0"/>
    <w:rPr>
      <w:rFonts w:ascii="Arial" w:hAnsi="Arial" w:cs="Arial"/>
      <w:color w:val="000000"/>
    </w:rPr>
  </w:style>
  <w:style w:type="paragraph" w:customStyle="1" w:styleId="105">
    <w:name w:val="Nivel_01_Titulo"/>
    <w:basedOn w:val="2"/>
    <w:next w:val="1"/>
    <w:link w:val="106"/>
    <w:qFormat/>
    <w:uiPriority w:val="0"/>
    <w:pPr>
      <w:numPr>
        <w:ilvl w:val="0"/>
        <w:numId w:val="2"/>
      </w:numPr>
      <w:tabs>
        <w:tab w:val="left" w:pos="567"/>
      </w:tabs>
      <w:spacing w:before="240" w:after="0"/>
      <w:ind w:left="360" w:hanging="990"/>
      <w:jc w:val="both"/>
    </w:pPr>
    <w:rPr>
      <w:rFonts w:ascii="Arial" w:hAnsi="Arial"/>
      <w:bCs/>
      <w:color w:val="2F5496"/>
      <w:sz w:val="20"/>
      <w:szCs w:val="20"/>
    </w:rPr>
  </w:style>
  <w:style w:type="character" w:customStyle="1" w:styleId="106">
    <w:name w:val="Nivel_01_Titulo Char"/>
    <w:link w:val="105"/>
    <w:qFormat/>
    <w:uiPriority w:val="0"/>
    <w:rPr>
      <w:rFonts w:ascii="Arial" w:hAnsi="Arial"/>
      <w:b/>
      <w:bCs/>
      <w:color w:val="2F5496"/>
    </w:rPr>
  </w:style>
  <w:style w:type="paragraph" w:customStyle="1" w:styleId="107">
    <w:name w:val="Nivel1"/>
    <w:basedOn w:val="2"/>
    <w:next w:val="1"/>
    <w:qFormat/>
    <w:uiPriority w:val="0"/>
    <w:pPr>
      <w:numPr>
        <w:ilvl w:val="0"/>
        <w:numId w:val="3"/>
      </w:numPr>
      <w:spacing w:line="276" w:lineRule="auto"/>
      <w:ind w:left="1859"/>
      <w:jc w:val="both"/>
    </w:pPr>
    <w:rPr>
      <w:rFonts w:ascii="Arial" w:hAnsi="Arial" w:cs="Arial"/>
      <w:color w:val="000000"/>
      <w:sz w:val="32"/>
      <w:szCs w:val="32"/>
      <w:lang w:eastAsia="en-US"/>
    </w:rPr>
  </w:style>
  <w:style w:type="paragraph" w:customStyle="1" w:styleId="108">
    <w:name w:val="Nível 2 -Red"/>
    <w:basedOn w:val="99"/>
    <w:link w:val="109"/>
    <w:qFormat/>
    <w:uiPriority w:val="0"/>
    <w:pPr>
      <w:numPr>
        <w:ilvl w:val="1"/>
        <w:numId w:val="2"/>
      </w:numPr>
      <w:ind w:left="4969" w:hanging="360"/>
    </w:pPr>
    <w:rPr>
      <w:i/>
      <w:iCs/>
      <w:color w:val="FF0000"/>
    </w:rPr>
  </w:style>
  <w:style w:type="character" w:customStyle="1" w:styleId="109">
    <w:name w:val="Nível 2 -Red Char"/>
    <w:link w:val="108"/>
    <w:qFormat/>
    <w:uiPriority w:val="0"/>
    <w:rPr>
      <w:rFonts w:ascii="Arial" w:hAnsi="Arial" w:cs="Arial"/>
      <w:i/>
      <w:iCs/>
      <w:color w:val="FF0000"/>
    </w:rPr>
  </w:style>
  <w:style w:type="paragraph" w:customStyle="1" w:styleId="110">
    <w:name w:val="Nível 3-R"/>
    <w:basedOn w:val="103"/>
    <w:link w:val="111"/>
    <w:qFormat/>
    <w:uiPriority w:val="0"/>
    <w:pPr>
      <w:numPr>
        <w:ilvl w:val="2"/>
        <w:numId w:val="2"/>
      </w:numPr>
    </w:pPr>
    <w:rPr>
      <w:i/>
      <w:iCs/>
      <w:color w:val="FF0000"/>
    </w:rPr>
  </w:style>
  <w:style w:type="character" w:customStyle="1" w:styleId="111">
    <w:name w:val="Nível 3-R Char"/>
    <w:link w:val="110"/>
    <w:qFormat/>
    <w:uiPriority w:val="0"/>
    <w:rPr>
      <w:rFonts w:ascii="Arial" w:hAnsi="Arial" w:cs="Arial"/>
      <w:i/>
      <w:iCs/>
      <w:color w:val="FF0000"/>
    </w:rPr>
  </w:style>
  <w:style w:type="paragraph" w:customStyle="1" w:styleId="112">
    <w:name w:val="Nível 4-R"/>
    <w:basedOn w:val="1"/>
    <w:qFormat/>
    <w:uiPriority w:val="0"/>
    <w:pPr>
      <w:numPr>
        <w:ilvl w:val="3"/>
        <w:numId w:val="2"/>
      </w:numPr>
      <w:spacing w:before="120" w:after="120" w:line="276" w:lineRule="auto"/>
      <w:ind w:left="2491" w:hanging="648"/>
      <w:jc w:val="both"/>
    </w:pPr>
    <w:rPr>
      <w:rFonts w:ascii="Arial" w:hAnsi="Arial" w:cs="Arial"/>
      <w:i/>
      <w:iCs/>
      <w:color w:val="FF0000"/>
    </w:rPr>
  </w:style>
  <w:style w:type="paragraph" w:customStyle="1" w:styleId="113">
    <w:name w:val="ou"/>
    <w:basedOn w:val="61"/>
    <w:link w:val="114"/>
    <w:qFormat/>
    <w:uiPriority w:val="0"/>
    <w:pPr>
      <w:spacing w:before="60" w:after="60" w:line="259" w:lineRule="auto"/>
      <w:ind w:left="0"/>
      <w:contextualSpacing w:val="0"/>
      <w:jc w:val="center"/>
    </w:pPr>
    <w:rPr>
      <w:rFonts w:ascii="Arial" w:hAnsi="Arial" w:eastAsia="Calibri" w:cs="Arial"/>
      <w:b/>
      <w:bCs/>
      <w:i/>
      <w:iCs/>
      <w:color w:val="FF0000"/>
      <w:sz w:val="24"/>
      <w:szCs w:val="24"/>
      <w:u w:val="single"/>
    </w:rPr>
  </w:style>
  <w:style w:type="character" w:customStyle="1" w:styleId="114">
    <w:name w:val="ou Char"/>
    <w:link w:val="113"/>
    <w:qFormat/>
    <w:uiPriority w:val="0"/>
    <w:rPr>
      <w:rFonts w:ascii="Arial" w:hAnsi="Arial" w:eastAsia="Calibri" w:cs="Arial"/>
      <w:b/>
      <w:bCs/>
      <w:i/>
      <w:iCs/>
      <w:color w:val="FF0000"/>
      <w:sz w:val="24"/>
      <w:szCs w:val="24"/>
      <w:u w:val="single"/>
    </w:rPr>
  </w:style>
  <w:style w:type="paragraph" w:customStyle="1" w:styleId="115">
    <w:name w:val="Nivel 3-erro"/>
    <w:basedOn w:val="103"/>
    <w:link w:val="116"/>
    <w:qFormat/>
    <w:uiPriority w:val="0"/>
    <w:pPr>
      <w:spacing w:line="240" w:lineRule="auto"/>
      <w:ind w:left="425"/>
    </w:pPr>
    <w:rPr>
      <w:rFonts w:cs="Tahoma"/>
      <w:color w:val="auto"/>
      <w:szCs w:val="24"/>
    </w:rPr>
  </w:style>
  <w:style w:type="character" w:customStyle="1" w:styleId="116">
    <w:name w:val="Nivel 3-erro Char"/>
    <w:link w:val="115"/>
    <w:qFormat/>
    <w:uiPriority w:val="0"/>
    <w:rPr>
      <w:rFonts w:ascii="Arial" w:hAnsi="Arial" w:cs="Tahoma"/>
      <w:szCs w:val="24"/>
    </w:rPr>
  </w:style>
  <w:style w:type="character" w:customStyle="1" w:styleId="117">
    <w:name w:val="normaltextrun"/>
    <w:basedOn w:val="9"/>
    <w:qFormat/>
    <w:uiPriority w:val="0"/>
  </w:style>
  <w:style w:type="character" w:customStyle="1" w:styleId="118">
    <w:name w:val="cf01"/>
    <w:qFormat/>
    <w:uiPriority w:val="0"/>
    <w:rPr>
      <w:rFonts w:hint="default" w:ascii="Segoe UI" w:hAnsi="Segoe UI" w:cs="Segoe UI"/>
      <w:sz w:val="18"/>
      <w:szCs w:val="18"/>
    </w:rPr>
  </w:style>
  <w:style w:type="paragraph" w:customStyle="1" w:styleId="119">
    <w:name w:val="pf0"/>
    <w:basedOn w:val="1"/>
    <w:qFormat/>
    <w:uiPriority w:val="0"/>
    <w:pPr>
      <w:spacing w:before="100" w:beforeAutospacing="1" w:after="100" w:afterAutospacing="1"/>
    </w:pPr>
    <w:rPr>
      <w:sz w:val="24"/>
      <w:szCs w:val="24"/>
    </w:rPr>
  </w:style>
  <w:style w:type="paragraph" w:customStyle="1" w:styleId="120">
    <w:name w:val="Nivel 4"/>
    <w:basedOn w:val="103"/>
    <w:link w:val="121"/>
    <w:qFormat/>
    <w:uiPriority w:val="0"/>
    <w:pPr>
      <w:ind w:left="851" w:firstLine="0"/>
    </w:pPr>
    <w:rPr>
      <w:rFonts w:eastAsia="MS Mincho"/>
      <w:color w:val="auto"/>
    </w:rPr>
  </w:style>
  <w:style w:type="character" w:customStyle="1" w:styleId="121">
    <w:name w:val="Nivel 4 Char"/>
    <w:link w:val="120"/>
    <w:qFormat/>
    <w:uiPriority w:val="0"/>
    <w:rPr>
      <w:rFonts w:ascii="Arial" w:hAnsi="Arial" w:eastAsia="MS Mincho" w:cs="Arial"/>
    </w:rPr>
  </w:style>
  <w:style w:type="paragraph" w:customStyle="1" w:styleId="122">
    <w:name w:val="Nivel 5"/>
    <w:basedOn w:val="120"/>
    <w:qFormat/>
    <w:uiPriority w:val="0"/>
    <w:pPr>
      <w:ind w:left="1276"/>
    </w:pPr>
  </w:style>
  <w:style w:type="paragraph" w:customStyle="1" w:styleId="123">
    <w:name w:val="Nivel 1"/>
    <w:basedOn w:val="99"/>
    <w:next w:val="99"/>
    <w:qFormat/>
    <w:uiPriority w:val="0"/>
    <w:pPr>
      <w:tabs>
        <w:tab w:val="left" w:pos="360"/>
      </w:tabs>
      <w:ind w:left="858"/>
    </w:pPr>
    <w:rPr>
      <w:rFonts w:ascii="Ecofont_Spranq_eco_Sans" w:hAnsi="Ecofont_Spranq_eco_Sans" w:eastAsia="Arial Unicode MS"/>
      <w:b/>
      <w:color w:val="auto"/>
    </w:rPr>
  </w:style>
  <w:style w:type="character" w:customStyle="1" w:styleId="124">
    <w:name w:val="cf11"/>
    <w:qFormat/>
    <w:uiPriority w:val="0"/>
    <w:rPr>
      <w:rFonts w:hint="default" w:ascii="Segoe UI" w:hAnsi="Segoe UI" w:cs="Segoe UI"/>
      <w:i/>
      <w:iCs/>
      <w:sz w:val="18"/>
      <w:szCs w:val="18"/>
    </w:rPr>
  </w:style>
  <w:style w:type="paragraph" w:customStyle="1" w:styleId="125">
    <w:name w:val="PADRÃO"/>
    <w:qFormat/>
    <w:uiPriority w:val="0"/>
    <w:pPr>
      <w:keepNext/>
      <w:widowControl w:val="0"/>
      <w:shd w:val="clear" w:color="auto" w:fill="FFFFFF"/>
      <w:spacing w:before="119" w:after="119" w:line="276" w:lineRule="auto"/>
      <w:ind w:firstLine="567"/>
      <w:jc w:val="both"/>
      <w:textAlignment w:val="baseline"/>
    </w:pPr>
    <w:rPr>
      <w:rFonts w:ascii="Ecofont_Spranq_eco_Sans" w:hAnsi="Ecofont_Spranq_eco_Sans" w:eastAsia="WenQuanYi Micro Hei" w:cs="Lohit Hindi"/>
      <w:szCs w:val="24"/>
      <w:lang w:val="pt-BR" w:eastAsia="zh-CN" w:bidi="hi-IN"/>
    </w:rPr>
  </w:style>
  <w:style w:type="paragraph" w:customStyle="1" w:styleId="126">
    <w:name w:val="Revisão1"/>
    <w:hidden/>
    <w:semiHidden/>
    <w:qFormat/>
    <w:uiPriority w:val="99"/>
    <w:rPr>
      <w:rFonts w:ascii="Times New Roman" w:hAnsi="Times New Roman" w:eastAsia="Times New Roman" w:cs="Times New Roman"/>
      <w:sz w:val="24"/>
      <w:szCs w:val="24"/>
      <w:lang w:val="pt-BR" w:eastAsia="pt-BR" w:bidi="ar-SA"/>
    </w:rPr>
  </w:style>
  <w:style w:type="paragraph" w:customStyle="1" w:styleId="127">
    <w:name w:val="Nível 4"/>
    <w:basedOn w:val="1"/>
    <w:qFormat/>
    <w:uiPriority w:val="0"/>
    <w:pPr>
      <w:spacing w:before="120" w:after="120" w:line="276" w:lineRule="auto"/>
      <w:ind w:left="567"/>
      <w:jc w:val="both"/>
    </w:pPr>
    <w:rPr>
      <w:rFonts w:ascii="Arial" w:hAnsi="Arial" w:cs="Arial"/>
    </w:rPr>
  </w:style>
  <w:style w:type="paragraph" w:customStyle="1" w:styleId="128">
    <w:name w:val="Recuo de corpo de texto 21"/>
    <w:basedOn w:val="1"/>
    <w:qFormat/>
    <w:uiPriority w:val="0"/>
    <w:pPr>
      <w:suppressAutoHyphens/>
      <w:spacing w:after="120" w:line="480" w:lineRule="auto"/>
      <w:ind w:left="283"/>
    </w:pPr>
    <w:rPr>
      <w:sz w:val="24"/>
      <w:szCs w:val="24"/>
      <w:lang w:eastAsia="ar-SA"/>
    </w:rPr>
  </w:style>
  <w:style w:type="paragraph" w:customStyle="1" w:styleId="129">
    <w:name w:val="Nível 3"/>
    <w:basedOn w:val="110"/>
    <w:link w:val="130"/>
    <w:qFormat/>
    <w:uiPriority w:val="0"/>
    <w:pPr>
      <w:numPr>
        <w:numId w:val="0"/>
      </w:numPr>
      <w:ind w:left="284"/>
    </w:pPr>
    <w:rPr>
      <w:i w:val="0"/>
      <w:iCs w:val="0"/>
      <w:color w:val="auto"/>
    </w:rPr>
  </w:style>
  <w:style w:type="character" w:customStyle="1" w:styleId="130">
    <w:name w:val="Nível 3 Char"/>
    <w:link w:val="129"/>
    <w:qFormat/>
    <w:uiPriority w:val="0"/>
    <w:rPr>
      <w:rFonts w:ascii="Arial" w:hAnsi="Arial" w:cs="Arial"/>
    </w:rPr>
  </w:style>
  <w:style w:type="paragraph" w:customStyle="1" w:styleId="131">
    <w:name w:val="Título 11"/>
    <w:basedOn w:val="1"/>
    <w:qFormat/>
    <w:uiPriority w:val="1"/>
    <w:pPr>
      <w:widowControl w:val="0"/>
      <w:autoSpaceDE w:val="0"/>
      <w:autoSpaceDN w:val="0"/>
      <w:ind w:left="2330" w:right="29"/>
      <w:jc w:val="center"/>
      <w:outlineLvl w:val="1"/>
    </w:pPr>
    <w:rPr>
      <w:b/>
      <w:bCs/>
      <w:sz w:val="22"/>
      <w:szCs w:val="22"/>
      <w:lang w:val="pt-PT" w:eastAsia="pt-PT" w:bidi="pt-PT"/>
    </w:rPr>
  </w:style>
  <w:style w:type="character" w:customStyle="1" w:styleId="132">
    <w:name w:val="apple-tab-span"/>
    <w:basedOn w:val="9"/>
    <w:qFormat/>
    <w:uiPriority w:val="0"/>
  </w:style>
  <w:style w:type="paragraph" w:customStyle="1" w:styleId="133">
    <w:name w:val="Heading"/>
    <w:basedOn w:val="19"/>
    <w:next w:val="18"/>
    <w:uiPriority w:val="0"/>
    <w:pPr>
      <w:keepNext/>
      <w:spacing w:before="240" w:after="120"/>
    </w:pPr>
    <w:rPr>
      <w:rFonts w:ascii="Liberation Sans" w:hAnsi="Liberation Sans" w:eastAsia="Microsoft YaHei" w:cs="Mangal"/>
      <w:sz w:val="28"/>
      <w:szCs w:val="28"/>
    </w:rPr>
  </w:style>
  <w:style w:type="paragraph" w:customStyle="1" w:styleId="134">
    <w:name w:val="Index"/>
    <w:basedOn w:val="19"/>
    <w:uiPriority w:val="0"/>
    <w:pPr>
      <w:suppressLineNumbers/>
    </w:pPr>
    <w:rPr>
      <w:rFonts w:cs="Mangal"/>
    </w:rPr>
  </w:style>
  <w:style w:type="paragraph" w:customStyle="1" w:styleId="135">
    <w:name w:val="footnote description"/>
    <w:next w:val="19"/>
    <w:uiPriority w:val="0"/>
    <w:pPr>
      <w:suppressAutoHyphens/>
      <w:autoSpaceDN w:val="0"/>
      <w:ind w:left="170" w:right="9" w:hanging="170"/>
      <w:jc w:val="both"/>
      <w:textAlignment w:val="baseline"/>
    </w:pPr>
    <w:rPr>
      <w:rFonts w:ascii="Liberation Serif" w:hAnsi="Liberation Serif" w:eastAsia="Liberation Serif" w:cs="Liberation Serif"/>
      <w:color w:val="000000"/>
      <w:sz w:val="16"/>
      <w:szCs w:val="22"/>
      <w:lang w:val="pt-BR" w:eastAsia="pt-BR" w:bidi="ar-SA"/>
    </w:rPr>
  </w:style>
  <w:style w:type="paragraph" w:customStyle="1" w:styleId="136">
    <w:name w:val="Footnote"/>
    <w:basedOn w:val="19"/>
    <w:uiPriority w:val="0"/>
  </w:style>
  <w:style w:type="paragraph" w:customStyle="1" w:styleId="137">
    <w:name w:val="Table Contents"/>
    <w:basedOn w:val="19"/>
    <w:uiPriority w:val="0"/>
    <w:pPr>
      <w:suppressLineNumbers/>
    </w:pPr>
  </w:style>
  <w:style w:type="paragraph" w:customStyle="1" w:styleId="138">
    <w:name w:val="Table Heading"/>
    <w:basedOn w:val="137"/>
    <w:uiPriority w:val="0"/>
    <w:pPr>
      <w:jc w:val="center"/>
    </w:pPr>
    <w:rPr>
      <w:b/>
      <w:bCs/>
    </w:rPr>
  </w:style>
  <w:style w:type="paragraph" w:customStyle="1" w:styleId="139">
    <w:name w:val="Header and Footer"/>
    <w:basedOn w:val="19"/>
    <w:uiPriority w:val="0"/>
    <w:pPr>
      <w:suppressLineNumbers/>
      <w:tabs>
        <w:tab w:val="center" w:pos="4829"/>
        <w:tab w:val="right" w:pos="9648"/>
      </w:tabs>
    </w:pPr>
  </w:style>
  <w:style w:type="paragraph" w:customStyle="1" w:styleId="140">
    <w:name w:val="Estilo1"/>
    <w:basedOn w:val="27"/>
    <w:uiPriority w:val="0"/>
    <w:pPr>
      <w:widowControl w:val="0"/>
      <w:numPr>
        <w:ilvl w:val="0"/>
        <w:numId w:val="4"/>
      </w:numPr>
      <w:tabs>
        <w:tab w:val="left" w:pos="-2880"/>
        <w:tab w:val="clear" w:pos="4419"/>
        <w:tab w:val="clear" w:pos="8838"/>
      </w:tabs>
      <w:suppressAutoHyphens/>
      <w:autoSpaceDN w:val="0"/>
      <w:spacing w:before="360" w:after="120" w:line="100" w:lineRule="atLeast"/>
      <w:jc w:val="both"/>
    </w:pPr>
    <w:rPr>
      <w:rFonts w:eastAsia="SimSun"/>
      <w:b/>
      <w:bCs/>
      <w:kern w:val="3"/>
      <w:sz w:val="24"/>
      <w:szCs w:val="24"/>
      <w:lang w:eastAsia="zh-CN"/>
    </w:rPr>
  </w:style>
  <w:style w:type="character" w:customStyle="1" w:styleId="141">
    <w:name w:val="footnote description Char"/>
    <w:uiPriority w:val="0"/>
    <w:rPr>
      <w:rFonts w:ascii="Liberation Serif" w:hAnsi="Liberation Serif" w:eastAsia="Liberation Serif" w:cs="Liberation Serif"/>
      <w:color w:val="000000"/>
      <w:sz w:val="16"/>
    </w:rPr>
  </w:style>
  <w:style w:type="character" w:customStyle="1" w:styleId="142">
    <w:name w:val="footnote mark"/>
    <w:uiPriority w:val="0"/>
    <w:rPr>
      <w:rFonts w:ascii="Liberation Serif" w:hAnsi="Liberation Serif" w:eastAsia="Liberation Serif" w:cs="Liberation Serif"/>
      <w:color w:val="000000"/>
      <w:position w:val="0"/>
      <w:sz w:val="16"/>
      <w:vertAlign w:val="superscript"/>
    </w:rPr>
  </w:style>
  <w:style w:type="character" w:customStyle="1" w:styleId="143">
    <w:name w:val="ListLabel 1"/>
    <w:uiPriority w:val="0"/>
    <w:rPr>
      <w:rFonts w:ascii="Times New Roman" w:hAnsi="Times New Roman" w:eastAsia="Times New Roman" w:cs="Times New Roman"/>
      <w:color w:val="000000"/>
      <w:position w:val="0"/>
      <w:sz w:val="20"/>
      <w:szCs w:val="20"/>
      <w:u w:val="none"/>
      <w:shd w:val="clear" w:color="auto" w:fill="auto"/>
      <w:vertAlign w:val="baseline"/>
    </w:rPr>
  </w:style>
  <w:style w:type="character" w:customStyle="1" w:styleId="144">
    <w:name w:val="ListLabel 2"/>
    <w:uiPriority w:val="0"/>
    <w:rPr>
      <w:rFonts w:ascii="Times New Roman" w:hAnsi="Times New Roman" w:eastAsia="Times New Roman" w:cs="Times New Roman"/>
      <w:color w:val="000000"/>
      <w:position w:val="0"/>
      <w:sz w:val="20"/>
      <w:szCs w:val="20"/>
      <w:u w:val="none"/>
      <w:shd w:val="clear" w:color="auto" w:fill="auto"/>
      <w:vertAlign w:val="baseline"/>
    </w:rPr>
  </w:style>
  <w:style w:type="character" w:customStyle="1" w:styleId="145">
    <w:name w:val="ListLabel 3"/>
    <w:uiPriority w:val="0"/>
    <w:rPr>
      <w:rFonts w:ascii="Times New Roman" w:hAnsi="Times New Roman" w:eastAsia="Times New Roman" w:cs="Times New Roman"/>
      <w:color w:val="000000"/>
      <w:position w:val="0"/>
      <w:sz w:val="20"/>
      <w:szCs w:val="20"/>
      <w:u w:val="none"/>
      <w:shd w:val="clear" w:color="auto" w:fill="auto"/>
      <w:vertAlign w:val="baseline"/>
    </w:rPr>
  </w:style>
  <w:style w:type="character" w:customStyle="1" w:styleId="146">
    <w:name w:val="ListLabel 4"/>
    <w:uiPriority w:val="0"/>
    <w:rPr>
      <w:rFonts w:ascii="Times New Roman" w:hAnsi="Times New Roman" w:eastAsia="Times New Roman" w:cs="Times New Roman"/>
      <w:color w:val="000000"/>
      <w:position w:val="0"/>
      <w:sz w:val="20"/>
      <w:szCs w:val="20"/>
      <w:u w:val="none"/>
      <w:shd w:val="clear" w:color="auto" w:fill="auto"/>
      <w:vertAlign w:val="baseline"/>
    </w:rPr>
  </w:style>
  <w:style w:type="character" w:customStyle="1" w:styleId="147">
    <w:name w:val="ListLabel 5"/>
    <w:uiPriority w:val="0"/>
    <w:rPr>
      <w:rFonts w:ascii="Times New Roman" w:hAnsi="Times New Roman" w:eastAsia="Times New Roman" w:cs="Times New Roman"/>
      <w:color w:val="000000"/>
      <w:position w:val="0"/>
      <w:sz w:val="20"/>
      <w:szCs w:val="20"/>
      <w:u w:val="none"/>
      <w:shd w:val="clear" w:color="auto" w:fill="auto"/>
      <w:vertAlign w:val="baseline"/>
    </w:rPr>
  </w:style>
  <w:style w:type="character" w:customStyle="1" w:styleId="148">
    <w:name w:val="ListLabel 6"/>
    <w:uiPriority w:val="0"/>
    <w:rPr>
      <w:rFonts w:ascii="Times New Roman" w:hAnsi="Times New Roman" w:eastAsia="Times New Roman" w:cs="Times New Roman"/>
      <w:color w:val="000000"/>
      <w:position w:val="0"/>
      <w:sz w:val="20"/>
      <w:szCs w:val="20"/>
      <w:u w:val="none"/>
      <w:shd w:val="clear" w:color="auto" w:fill="auto"/>
      <w:vertAlign w:val="baseline"/>
    </w:rPr>
  </w:style>
  <w:style w:type="character" w:customStyle="1" w:styleId="149">
    <w:name w:val="ListLabel 7"/>
    <w:uiPriority w:val="0"/>
    <w:rPr>
      <w:rFonts w:ascii="Times New Roman" w:hAnsi="Times New Roman" w:eastAsia="Times New Roman" w:cs="Times New Roman"/>
      <w:color w:val="000000"/>
      <w:position w:val="0"/>
      <w:sz w:val="20"/>
      <w:szCs w:val="20"/>
      <w:u w:val="none"/>
      <w:shd w:val="clear" w:color="auto" w:fill="auto"/>
      <w:vertAlign w:val="baseline"/>
    </w:rPr>
  </w:style>
  <w:style w:type="character" w:customStyle="1" w:styleId="150">
    <w:name w:val="ListLabel 8"/>
    <w:uiPriority w:val="0"/>
    <w:rPr>
      <w:rFonts w:ascii="Times New Roman" w:hAnsi="Times New Roman" w:eastAsia="Times New Roman" w:cs="Times New Roman"/>
      <w:color w:val="000000"/>
      <w:position w:val="0"/>
      <w:sz w:val="20"/>
      <w:szCs w:val="20"/>
      <w:u w:val="none"/>
      <w:shd w:val="clear" w:color="auto" w:fill="auto"/>
      <w:vertAlign w:val="baseline"/>
    </w:rPr>
  </w:style>
  <w:style w:type="character" w:customStyle="1" w:styleId="151">
    <w:name w:val="ListLabel 9"/>
    <w:uiPriority w:val="0"/>
    <w:rPr>
      <w:rFonts w:ascii="Times New Roman" w:hAnsi="Times New Roman" w:eastAsia="Times New Roman" w:cs="Times New Roman"/>
      <w:color w:val="000000"/>
      <w:position w:val="0"/>
      <w:sz w:val="20"/>
      <w:szCs w:val="20"/>
      <w:u w:val="none"/>
      <w:shd w:val="clear" w:color="auto" w:fill="auto"/>
      <w:vertAlign w:val="baseline"/>
    </w:rPr>
  </w:style>
  <w:style w:type="character" w:customStyle="1" w:styleId="152">
    <w:name w:val="ListLabel 10"/>
    <w:uiPriority w:val="0"/>
    <w:rPr>
      <w:rFonts w:ascii="Times New Roman" w:hAnsi="Times New Roman" w:eastAsia="Times New Roman" w:cs="Times New Roman"/>
      <w:color w:val="000000"/>
      <w:position w:val="0"/>
      <w:sz w:val="20"/>
      <w:szCs w:val="20"/>
      <w:u w:val="none"/>
      <w:shd w:val="clear" w:color="auto" w:fill="auto"/>
      <w:vertAlign w:val="baseline"/>
    </w:rPr>
  </w:style>
  <w:style w:type="character" w:customStyle="1" w:styleId="153">
    <w:name w:val="ListLabel 11"/>
    <w:uiPriority w:val="0"/>
    <w:rPr>
      <w:rFonts w:ascii="Times New Roman" w:hAnsi="Times New Roman" w:eastAsia="Times New Roman" w:cs="Times New Roman"/>
      <w:color w:val="000000"/>
      <w:position w:val="0"/>
      <w:sz w:val="20"/>
      <w:szCs w:val="20"/>
      <w:u w:val="none"/>
      <w:shd w:val="clear" w:color="auto" w:fill="auto"/>
      <w:vertAlign w:val="baseline"/>
    </w:rPr>
  </w:style>
  <w:style w:type="character" w:customStyle="1" w:styleId="154">
    <w:name w:val="ListLabel 12"/>
    <w:uiPriority w:val="0"/>
    <w:rPr>
      <w:rFonts w:ascii="Times New Roman" w:hAnsi="Times New Roman" w:eastAsia="Times New Roman" w:cs="Times New Roman"/>
      <w:color w:val="000000"/>
      <w:position w:val="0"/>
      <w:sz w:val="20"/>
      <w:szCs w:val="20"/>
      <w:u w:val="none"/>
      <w:shd w:val="clear" w:color="auto" w:fill="auto"/>
      <w:vertAlign w:val="baseline"/>
    </w:rPr>
  </w:style>
  <w:style w:type="character" w:customStyle="1" w:styleId="155">
    <w:name w:val="ListLabel 13"/>
    <w:uiPriority w:val="0"/>
    <w:rPr>
      <w:rFonts w:ascii="Times New Roman" w:hAnsi="Times New Roman" w:eastAsia="Times New Roman" w:cs="Times New Roman"/>
      <w:color w:val="000000"/>
      <w:position w:val="0"/>
      <w:sz w:val="20"/>
      <w:szCs w:val="20"/>
      <w:u w:val="none"/>
      <w:shd w:val="clear" w:color="auto" w:fill="auto"/>
      <w:vertAlign w:val="baseline"/>
    </w:rPr>
  </w:style>
  <w:style w:type="character" w:customStyle="1" w:styleId="156">
    <w:name w:val="ListLabel 14"/>
    <w:uiPriority w:val="0"/>
    <w:rPr>
      <w:rFonts w:ascii="Times New Roman" w:hAnsi="Times New Roman" w:eastAsia="Times New Roman" w:cs="Times New Roman"/>
      <w:color w:val="000000"/>
      <w:position w:val="0"/>
      <w:sz w:val="20"/>
      <w:szCs w:val="20"/>
      <w:u w:val="none"/>
      <w:shd w:val="clear" w:color="auto" w:fill="auto"/>
      <w:vertAlign w:val="baseline"/>
    </w:rPr>
  </w:style>
  <w:style w:type="character" w:customStyle="1" w:styleId="157">
    <w:name w:val="ListLabel 15"/>
    <w:uiPriority w:val="0"/>
    <w:rPr>
      <w:rFonts w:ascii="Times New Roman" w:hAnsi="Times New Roman" w:eastAsia="Times New Roman" w:cs="Times New Roman"/>
      <w:color w:val="000000"/>
      <w:position w:val="0"/>
      <w:sz w:val="20"/>
      <w:szCs w:val="20"/>
      <w:u w:val="none"/>
      <w:shd w:val="clear" w:color="auto" w:fill="auto"/>
      <w:vertAlign w:val="baseline"/>
    </w:rPr>
  </w:style>
  <w:style w:type="character" w:customStyle="1" w:styleId="158">
    <w:name w:val="ListLabel 16"/>
    <w:uiPriority w:val="0"/>
    <w:rPr>
      <w:rFonts w:ascii="Times New Roman" w:hAnsi="Times New Roman" w:eastAsia="Times New Roman" w:cs="Times New Roman"/>
      <w:color w:val="000000"/>
      <w:position w:val="0"/>
      <w:sz w:val="20"/>
      <w:szCs w:val="20"/>
      <w:u w:val="none"/>
      <w:shd w:val="clear" w:color="auto" w:fill="auto"/>
      <w:vertAlign w:val="baseline"/>
    </w:rPr>
  </w:style>
  <w:style w:type="character" w:customStyle="1" w:styleId="159">
    <w:name w:val="ListLabel 17"/>
    <w:uiPriority w:val="0"/>
    <w:rPr>
      <w:rFonts w:ascii="Times New Roman" w:hAnsi="Times New Roman" w:eastAsia="Times New Roman" w:cs="Times New Roman"/>
      <w:color w:val="000000"/>
      <w:position w:val="0"/>
      <w:sz w:val="20"/>
      <w:szCs w:val="20"/>
      <w:u w:val="none"/>
      <w:shd w:val="clear" w:color="auto" w:fill="auto"/>
      <w:vertAlign w:val="baseline"/>
    </w:rPr>
  </w:style>
  <w:style w:type="character" w:customStyle="1" w:styleId="160">
    <w:name w:val="ListLabel 18"/>
    <w:uiPriority w:val="0"/>
    <w:rPr>
      <w:rFonts w:ascii="Times New Roman" w:hAnsi="Times New Roman" w:eastAsia="Times New Roman" w:cs="Times New Roman"/>
      <w:color w:val="000000"/>
      <w:position w:val="0"/>
      <w:sz w:val="20"/>
      <w:szCs w:val="20"/>
      <w:u w:val="none"/>
      <w:shd w:val="clear" w:color="auto" w:fill="auto"/>
      <w:vertAlign w:val="baseline"/>
    </w:rPr>
  </w:style>
  <w:style w:type="character" w:customStyle="1" w:styleId="161">
    <w:name w:val="ListLabel 19"/>
    <w:uiPriority w:val="0"/>
    <w:rPr>
      <w:rFonts w:ascii="Liberation Serif" w:hAnsi="Liberation Serif" w:eastAsia="Liberation Serif" w:cs="Liberation Serif"/>
      <w:color w:val="000000"/>
      <w:position w:val="0"/>
      <w:sz w:val="24"/>
      <w:szCs w:val="24"/>
      <w:u w:val="none"/>
      <w:shd w:val="clear" w:color="auto" w:fill="auto"/>
      <w:vertAlign w:val="baseline"/>
    </w:rPr>
  </w:style>
  <w:style w:type="character" w:customStyle="1" w:styleId="162">
    <w:name w:val="ListLabel 20"/>
    <w:uiPriority w:val="0"/>
    <w:rPr>
      <w:rFonts w:ascii="Liberation Serif" w:hAnsi="Liberation Serif" w:eastAsia="Liberation Serif" w:cs="Liberation Serif"/>
      <w:color w:val="000000"/>
      <w:position w:val="0"/>
      <w:sz w:val="24"/>
      <w:szCs w:val="24"/>
      <w:u w:val="none"/>
      <w:shd w:val="clear" w:color="auto" w:fill="auto"/>
      <w:vertAlign w:val="baseline"/>
    </w:rPr>
  </w:style>
  <w:style w:type="character" w:customStyle="1" w:styleId="163">
    <w:name w:val="ListLabel 21"/>
    <w:uiPriority w:val="0"/>
    <w:rPr>
      <w:rFonts w:ascii="Liberation Serif" w:hAnsi="Liberation Serif" w:eastAsia="Liberation Serif" w:cs="Liberation Serif"/>
      <w:color w:val="000000"/>
      <w:position w:val="0"/>
      <w:sz w:val="24"/>
      <w:szCs w:val="24"/>
      <w:u w:val="none"/>
      <w:shd w:val="clear" w:color="auto" w:fill="auto"/>
      <w:vertAlign w:val="baseline"/>
    </w:rPr>
  </w:style>
  <w:style w:type="character" w:customStyle="1" w:styleId="164">
    <w:name w:val="ListLabel 22"/>
    <w:uiPriority w:val="0"/>
    <w:rPr>
      <w:rFonts w:ascii="Liberation Serif" w:hAnsi="Liberation Serif" w:eastAsia="Liberation Serif" w:cs="Liberation Serif"/>
      <w:color w:val="000000"/>
      <w:position w:val="0"/>
      <w:sz w:val="24"/>
      <w:szCs w:val="24"/>
      <w:u w:val="none"/>
      <w:shd w:val="clear" w:color="auto" w:fill="auto"/>
      <w:vertAlign w:val="baseline"/>
    </w:rPr>
  </w:style>
  <w:style w:type="character" w:customStyle="1" w:styleId="165">
    <w:name w:val="ListLabel 23"/>
    <w:uiPriority w:val="0"/>
    <w:rPr>
      <w:rFonts w:ascii="Liberation Serif" w:hAnsi="Liberation Serif" w:eastAsia="Liberation Serif" w:cs="Liberation Serif"/>
      <w:color w:val="000000"/>
      <w:position w:val="0"/>
      <w:sz w:val="24"/>
      <w:szCs w:val="24"/>
      <w:u w:val="none"/>
      <w:shd w:val="clear" w:color="auto" w:fill="auto"/>
      <w:vertAlign w:val="baseline"/>
    </w:rPr>
  </w:style>
  <w:style w:type="character" w:customStyle="1" w:styleId="166">
    <w:name w:val="ListLabel 24"/>
    <w:uiPriority w:val="0"/>
    <w:rPr>
      <w:rFonts w:ascii="Liberation Serif" w:hAnsi="Liberation Serif" w:eastAsia="Liberation Serif" w:cs="Liberation Serif"/>
      <w:color w:val="000000"/>
      <w:position w:val="0"/>
      <w:sz w:val="24"/>
      <w:szCs w:val="24"/>
      <w:u w:val="none"/>
      <w:shd w:val="clear" w:color="auto" w:fill="auto"/>
      <w:vertAlign w:val="baseline"/>
    </w:rPr>
  </w:style>
  <w:style w:type="character" w:customStyle="1" w:styleId="167">
    <w:name w:val="ListLabel 25"/>
    <w:uiPriority w:val="0"/>
    <w:rPr>
      <w:rFonts w:ascii="Liberation Serif" w:hAnsi="Liberation Serif" w:eastAsia="Liberation Serif" w:cs="Liberation Serif"/>
      <w:color w:val="000000"/>
      <w:position w:val="0"/>
      <w:sz w:val="24"/>
      <w:szCs w:val="24"/>
      <w:u w:val="none"/>
      <w:shd w:val="clear" w:color="auto" w:fill="auto"/>
      <w:vertAlign w:val="baseline"/>
    </w:rPr>
  </w:style>
  <w:style w:type="character" w:customStyle="1" w:styleId="168">
    <w:name w:val="ListLabel 26"/>
    <w:uiPriority w:val="0"/>
    <w:rPr>
      <w:rFonts w:ascii="Liberation Serif" w:hAnsi="Liberation Serif" w:eastAsia="Liberation Serif" w:cs="Liberation Serif"/>
      <w:color w:val="000000"/>
      <w:position w:val="0"/>
      <w:sz w:val="24"/>
      <w:szCs w:val="24"/>
      <w:u w:val="none"/>
      <w:shd w:val="clear" w:color="auto" w:fill="auto"/>
      <w:vertAlign w:val="baseline"/>
    </w:rPr>
  </w:style>
  <w:style w:type="character" w:customStyle="1" w:styleId="169">
    <w:name w:val="ListLabel 27"/>
    <w:uiPriority w:val="0"/>
    <w:rPr>
      <w:rFonts w:ascii="Liberation Serif" w:hAnsi="Liberation Serif" w:eastAsia="Liberation Serif" w:cs="Liberation Serif"/>
      <w:color w:val="000000"/>
      <w:position w:val="0"/>
      <w:sz w:val="24"/>
      <w:szCs w:val="24"/>
      <w:u w:val="none"/>
      <w:shd w:val="clear" w:color="auto" w:fill="auto"/>
      <w:vertAlign w:val="baseline"/>
    </w:rPr>
  </w:style>
  <w:style w:type="character" w:customStyle="1" w:styleId="170">
    <w:name w:val="ListLabel 28"/>
    <w:uiPriority w:val="0"/>
    <w:rPr>
      <w:rFonts w:ascii="Liberation Serif" w:hAnsi="Liberation Serif" w:eastAsia="Liberation Serif" w:cs="Liberation Serif"/>
      <w:color w:val="000000"/>
      <w:position w:val="0"/>
      <w:sz w:val="24"/>
      <w:szCs w:val="24"/>
      <w:u w:val="none"/>
      <w:shd w:val="clear" w:color="auto" w:fill="auto"/>
      <w:vertAlign w:val="baseline"/>
    </w:rPr>
  </w:style>
  <w:style w:type="character" w:customStyle="1" w:styleId="171">
    <w:name w:val="ListLabel 29"/>
    <w:uiPriority w:val="0"/>
    <w:rPr>
      <w:rFonts w:ascii="Liberation Serif" w:hAnsi="Liberation Serif" w:eastAsia="Liberation Serif" w:cs="Liberation Serif"/>
      <w:color w:val="000000"/>
      <w:position w:val="0"/>
      <w:sz w:val="24"/>
      <w:szCs w:val="24"/>
      <w:u w:val="none"/>
      <w:shd w:val="clear" w:color="auto" w:fill="auto"/>
      <w:vertAlign w:val="baseline"/>
    </w:rPr>
  </w:style>
  <w:style w:type="character" w:customStyle="1" w:styleId="172">
    <w:name w:val="ListLabel 30"/>
    <w:uiPriority w:val="0"/>
    <w:rPr>
      <w:rFonts w:ascii="Liberation Serif" w:hAnsi="Liberation Serif" w:eastAsia="Liberation Serif" w:cs="Liberation Serif"/>
      <w:color w:val="000000"/>
      <w:position w:val="0"/>
      <w:sz w:val="24"/>
      <w:szCs w:val="24"/>
      <w:u w:val="none"/>
      <w:shd w:val="clear" w:color="auto" w:fill="auto"/>
      <w:vertAlign w:val="baseline"/>
    </w:rPr>
  </w:style>
  <w:style w:type="character" w:customStyle="1" w:styleId="173">
    <w:name w:val="ListLabel 31"/>
    <w:uiPriority w:val="0"/>
    <w:rPr>
      <w:rFonts w:ascii="Liberation Serif" w:hAnsi="Liberation Serif" w:eastAsia="Liberation Serif" w:cs="Liberation Serif"/>
      <w:color w:val="000000"/>
      <w:position w:val="0"/>
      <w:sz w:val="24"/>
      <w:szCs w:val="24"/>
      <w:u w:val="none"/>
      <w:shd w:val="clear" w:color="auto" w:fill="auto"/>
      <w:vertAlign w:val="baseline"/>
    </w:rPr>
  </w:style>
  <w:style w:type="character" w:customStyle="1" w:styleId="174">
    <w:name w:val="ListLabel 32"/>
    <w:uiPriority w:val="0"/>
    <w:rPr>
      <w:rFonts w:ascii="Liberation Serif" w:hAnsi="Liberation Serif" w:eastAsia="Liberation Serif" w:cs="Liberation Serif"/>
      <w:color w:val="000000"/>
      <w:position w:val="0"/>
      <w:sz w:val="24"/>
      <w:szCs w:val="24"/>
      <w:u w:val="none"/>
      <w:shd w:val="clear" w:color="auto" w:fill="auto"/>
      <w:vertAlign w:val="baseline"/>
    </w:rPr>
  </w:style>
  <w:style w:type="character" w:customStyle="1" w:styleId="175">
    <w:name w:val="ListLabel 33"/>
    <w:uiPriority w:val="0"/>
    <w:rPr>
      <w:rFonts w:ascii="Liberation Serif" w:hAnsi="Liberation Serif" w:eastAsia="Liberation Serif" w:cs="Liberation Serif"/>
      <w:color w:val="000000"/>
      <w:position w:val="0"/>
      <w:sz w:val="24"/>
      <w:szCs w:val="24"/>
      <w:u w:val="none"/>
      <w:shd w:val="clear" w:color="auto" w:fill="auto"/>
      <w:vertAlign w:val="baseline"/>
    </w:rPr>
  </w:style>
  <w:style w:type="character" w:customStyle="1" w:styleId="176">
    <w:name w:val="ListLabel 34"/>
    <w:uiPriority w:val="0"/>
    <w:rPr>
      <w:rFonts w:ascii="Liberation Serif" w:hAnsi="Liberation Serif" w:eastAsia="Liberation Serif" w:cs="Liberation Serif"/>
      <w:color w:val="000000"/>
      <w:position w:val="0"/>
      <w:sz w:val="24"/>
      <w:szCs w:val="24"/>
      <w:u w:val="none"/>
      <w:shd w:val="clear" w:color="auto" w:fill="auto"/>
      <w:vertAlign w:val="baseline"/>
    </w:rPr>
  </w:style>
  <w:style w:type="character" w:customStyle="1" w:styleId="177">
    <w:name w:val="ListLabel 35"/>
    <w:uiPriority w:val="0"/>
    <w:rPr>
      <w:rFonts w:ascii="Liberation Serif" w:hAnsi="Liberation Serif" w:eastAsia="Liberation Serif" w:cs="Liberation Serif"/>
      <w:color w:val="000000"/>
      <w:position w:val="0"/>
      <w:sz w:val="24"/>
      <w:szCs w:val="24"/>
      <w:u w:val="none"/>
      <w:shd w:val="clear" w:color="auto" w:fill="auto"/>
      <w:vertAlign w:val="baseline"/>
    </w:rPr>
  </w:style>
  <w:style w:type="character" w:customStyle="1" w:styleId="178">
    <w:name w:val="ListLabel 36"/>
    <w:uiPriority w:val="0"/>
    <w:rPr>
      <w:rFonts w:ascii="Liberation Serif" w:hAnsi="Liberation Serif" w:eastAsia="Liberation Serif" w:cs="Liberation Serif"/>
      <w:color w:val="000000"/>
      <w:position w:val="0"/>
      <w:sz w:val="24"/>
      <w:szCs w:val="24"/>
      <w:u w:val="none"/>
      <w:shd w:val="clear" w:color="auto" w:fill="auto"/>
      <w:vertAlign w:val="baseline"/>
    </w:rPr>
  </w:style>
  <w:style w:type="character" w:customStyle="1" w:styleId="179">
    <w:name w:val="ListLabel 37"/>
    <w:uiPriority w:val="0"/>
    <w:rPr>
      <w:rFonts w:eastAsia="Liberation Serif" w:cs="Liberation Serif"/>
      <w:color w:val="000000"/>
      <w:position w:val="0"/>
      <w:sz w:val="22"/>
      <w:szCs w:val="22"/>
      <w:u w:val="none"/>
      <w:shd w:val="clear" w:color="auto" w:fill="auto"/>
      <w:vertAlign w:val="baseline"/>
    </w:rPr>
  </w:style>
  <w:style w:type="character" w:customStyle="1" w:styleId="180">
    <w:name w:val="ListLabel 38"/>
    <w:uiPriority w:val="0"/>
    <w:rPr>
      <w:rFonts w:eastAsia="Liberation Serif" w:cs="Liberation Serif"/>
      <w:color w:val="000000"/>
      <w:position w:val="0"/>
      <w:sz w:val="22"/>
      <w:szCs w:val="22"/>
      <w:u w:val="none"/>
      <w:shd w:val="clear" w:color="auto" w:fill="auto"/>
      <w:vertAlign w:val="baseline"/>
    </w:rPr>
  </w:style>
  <w:style w:type="character" w:customStyle="1" w:styleId="181">
    <w:name w:val="ListLabel 39"/>
    <w:uiPriority w:val="0"/>
    <w:rPr>
      <w:rFonts w:eastAsia="Liberation Serif" w:cs="Liberation Serif"/>
      <w:color w:val="000000"/>
      <w:position w:val="0"/>
      <w:sz w:val="22"/>
      <w:szCs w:val="22"/>
      <w:u w:val="none"/>
      <w:shd w:val="clear" w:color="auto" w:fill="auto"/>
      <w:vertAlign w:val="baseline"/>
    </w:rPr>
  </w:style>
  <w:style w:type="character" w:customStyle="1" w:styleId="182">
    <w:name w:val="ListLabel 40"/>
    <w:uiPriority w:val="0"/>
    <w:rPr>
      <w:rFonts w:eastAsia="Liberation Serif" w:cs="Liberation Serif"/>
      <w:color w:val="000000"/>
      <w:position w:val="0"/>
      <w:sz w:val="22"/>
      <w:szCs w:val="22"/>
      <w:u w:val="none"/>
      <w:shd w:val="clear" w:color="auto" w:fill="auto"/>
      <w:vertAlign w:val="baseline"/>
    </w:rPr>
  </w:style>
  <w:style w:type="character" w:customStyle="1" w:styleId="183">
    <w:name w:val="ListLabel 41"/>
    <w:uiPriority w:val="0"/>
    <w:rPr>
      <w:rFonts w:eastAsia="Liberation Serif" w:cs="Liberation Serif"/>
      <w:color w:val="000000"/>
      <w:position w:val="0"/>
      <w:sz w:val="22"/>
      <w:szCs w:val="22"/>
      <w:u w:val="none"/>
      <w:shd w:val="clear" w:color="auto" w:fill="auto"/>
      <w:vertAlign w:val="baseline"/>
    </w:rPr>
  </w:style>
  <w:style w:type="character" w:customStyle="1" w:styleId="184">
    <w:name w:val="ListLabel 42"/>
    <w:uiPriority w:val="0"/>
    <w:rPr>
      <w:rFonts w:eastAsia="Liberation Serif" w:cs="Liberation Serif"/>
      <w:color w:val="000000"/>
      <w:position w:val="0"/>
      <w:sz w:val="22"/>
      <w:szCs w:val="22"/>
      <w:u w:val="none"/>
      <w:shd w:val="clear" w:color="auto" w:fill="auto"/>
      <w:vertAlign w:val="baseline"/>
    </w:rPr>
  </w:style>
  <w:style w:type="character" w:customStyle="1" w:styleId="185">
    <w:name w:val="ListLabel 43"/>
    <w:uiPriority w:val="0"/>
    <w:rPr>
      <w:rFonts w:eastAsia="Liberation Serif" w:cs="Liberation Serif"/>
      <w:color w:val="000000"/>
      <w:position w:val="0"/>
      <w:sz w:val="22"/>
      <w:szCs w:val="22"/>
      <w:u w:val="none"/>
      <w:shd w:val="clear" w:color="auto" w:fill="auto"/>
      <w:vertAlign w:val="baseline"/>
    </w:rPr>
  </w:style>
  <w:style w:type="character" w:customStyle="1" w:styleId="186">
    <w:name w:val="ListLabel 44"/>
    <w:uiPriority w:val="0"/>
    <w:rPr>
      <w:rFonts w:eastAsia="Liberation Serif" w:cs="Liberation Serif"/>
      <w:color w:val="000000"/>
      <w:position w:val="0"/>
      <w:sz w:val="22"/>
      <w:szCs w:val="22"/>
      <w:u w:val="none"/>
      <w:shd w:val="clear" w:color="auto" w:fill="auto"/>
      <w:vertAlign w:val="baseline"/>
    </w:rPr>
  </w:style>
  <w:style w:type="character" w:customStyle="1" w:styleId="187">
    <w:name w:val="ListLabel 45"/>
    <w:uiPriority w:val="0"/>
    <w:rPr>
      <w:rFonts w:eastAsia="Liberation Serif" w:cs="Liberation Serif"/>
      <w:color w:val="000000"/>
      <w:position w:val="0"/>
      <w:sz w:val="22"/>
      <w:szCs w:val="22"/>
      <w:u w:val="none"/>
      <w:shd w:val="clear" w:color="auto" w:fill="auto"/>
      <w:vertAlign w:val="baseline"/>
    </w:rPr>
  </w:style>
  <w:style w:type="character" w:customStyle="1" w:styleId="188">
    <w:name w:val="ListLabel 46"/>
    <w:uiPriority w:val="0"/>
    <w:rPr>
      <w:rFonts w:eastAsia="Liberation Serif" w:cs="Liberation Serif"/>
      <w:color w:val="000000"/>
      <w:position w:val="0"/>
      <w:sz w:val="22"/>
      <w:szCs w:val="22"/>
      <w:u w:val="none"/>
      <w:shd w:val="clear" w:color="auto" w:fill="auto"/>
      <w:vertAlign w:val="baseline"/>
    </w:rPr>
  </w:style>
  <w:style w:type="character" w:customStyle="1" w:styleId="189">
    <w:name w:val="ListLabel 47"/>
    <w:uiPriority w:val="0"/>
    <w:rPr>
      <w:rFonts w:eastAsia="Liberation Serif" w:cs="Liberation Serif"/>
      <w:color w:val="000000"/>
      <w:position w:val="0"/>
      <w:sz w:val="22"/>
      <w:szCs w:val="22"/>
      <w:u w:val="none"/>
      <w:shd w:val="clear" w:color="auto" w:fill="auto"/>
      <w:vertAlign w:val="baseline"/>
    </w:rPr>
  </w:style>
  <w:style w:type="character" w:customStyle="1" w:styleId="190">
    <w:name w:val="ListLabel 48"/>
    <w:uiPriority w:val="0"/>
    <w:rPr>
      <w:rFonts w:eastAsia="Liberation Serif" w:cs="Liberation Serif"/>
      <w:color w:val="000000"/>
      <w:position w:val="0"/>
      <w:sz w:val="22"/>
      <w:szCs w:val="22"/>
      <w:u w:val="none"/>
      <w:shd w:val="clear" w:color="auto" w:fill="auto"/>
      <w:vertAlign w:val="baseline"/>
    </w:rPr>
  </w:style>
  <w:style w:type="character" w:customStyle="1" w:styleId="191">
    <w:name w:val="ListLabel 49"/>
    <w:uiPriority w:val="0"/>
    <w:rPr>
      <w:rFonts w:eastAsia="Liberation Serif" w:cs="Liberation Serif"/>
      <w:color w:val="000000"/>
      <w:position w:val="0"/>
      <w:sz w:val="22"/>
      <w:szCs w:val="22"/>
      <w:u w:val="none"/>
      <w:shd w:val="clear" w:color="auto" w:fill="auto"/>
      <w:vertAlign w:val="baseline"/>
    </w:rPr>
  </w:style>
  <w:style w:type="character" w:customStyle="1" w:styleId="192">
    <w:name w:val="ListLabel 50"/>
    <w:uiPriority w:val="0"/>
    <w:rPr>
      <w:rFonts w:eastAsia="Liberation Serif" w:cs="Liberation Serif"/>
      <w:color w:val="000000"/>
      <w:position w:val="0"/>
      <w:sz w:val="22"/>
      <w:szCs w:val="22"/>
      <w:u w:val="none"/>
      <w:shd w:val="clear" w:color="auto" w:fill="auto"/>
      <w:vertAlign w:val="baseline"/>
    </w:rPr>
  </w:style>
  <w:style w:type="character" w:customStyle="1" w:styleId="193">
    <w:name w:val="ListLabel 51"/>
    <w:uiPriority w:val="0"/>
    <w:rPr>
      <w:rFonts w:eastAsia="Liberation Serif" w:cs="Liberation Serif"/>
      <w:color w:val="000000"/>
      <w:position w:val="0"/>
      <w:sz w:val="22"/>
      <w:szCs w:val="22"/>
      <w:u w:val="none"/>
      <w:shd w:val="clear" w:color="auto" w:fill="auto"/>
      <w:vertAlign w:val="baseline"/>
    </w:rPr>
  </w:style>
  <w:style w:type="character" w:customStyle="1" w:styleId="194">
    <w:name w:val="ListLabel 52"/>
    <w:uiPriority w:val="0"/>
    <w:rPr>
      <w:rFonts w:eastAsia="Liberation Serif" w:cs="Liberation Serif"/>
      <w:color w:val="000000"/>
      <w:position w:val="0"/>
      <w:sz w:val="22"/>
      <w:szCs w:val="22"/>
      <w:u w:val="none"/>
      <w:shd w:val="clear" w:color="auto" w:fill="auto"/>
      <w:vertAlign w:val="baseline"/>
    </w:rPr>
  </w:style>
  <w:style w:type="character" w:customStyle="1" w:styleId="195">
    <w:name w:val="ListLabel 53"/>
    <w:uiPriority w:val="0"/>
    <w:rPr>
      <w:rFonts w:eastAsia="Liberation Serif" w:cs="Liberation Serif"/>
      <w:color w:val="000000"/>
      <w:position w:val="0"/>
      <w:sz w:val="22"/>
      <w:szCs w:val="22"/>
      <w:u w:val="none"/>
      <w:shd w:val="clear" w:color="auto" w:fill="auto"/>
      <w:vertAlign w:val="baseline"/>
    </w:rPr>
  </w:style>
  <w:style w:type="character" w:customStyle="1" w:styleId="196">
    <w:name w:val="ListLabel 54"/>
    <w:uiPriority w:val="0"/>
    <w:rPr>
      <w:rFonts w:eastAsia="Liberation Serif" w:cs="Liberation Serif"/>
      <w:color w:val="000000"/>
      <w:position w:val="0"/>
      <w:sz w:val="22"/>
      <w:szCs w:val="22"/>
      <w:u w:val="none"/>
      <w:shd w:val="clear" w:color="auto" w:fill="auto"/>
      <w:vertAlign w:val="baseline"/>
    </w:rPr>
  </w:style>
  <w:style w:type="character" w:customStyle="1" w:styleId="197">
    <w:name w:val="ListLabel 55"/>
    <w:uiPriority w:val="0"/>
    <w:rPr>
      <w:rFonts w:eastAsia="Liberation Serif" w:cs="Liberation Serif"/>
      <w:color w:val="000000"/>
      <w:position w:val="0"/>
      <w:sz w:val="22"/>
      <w:szCs w:val="22"/>
      <w:u w:val="none"/>
      <w:shd w:val="clear" w:color="auto" w:fill="auto"/>
      <w:vertAlign w:val="baseline"/>
    </w:rPr>
  </w:style>
  <w:style w:type="character" w:customStyle="1" w:styleId="198">
    <w:name w:val="ListLabel 56"/>
    <w:uiPriority w:val="0"/>
    <w:rPr>
      <w:rFonts w:eastAsia="Liberation Serif" w:cs="Liberation Serif"/>
      <w:color w:val="000000"/>
      <w:position w:val="0"/>
      <w:sz w:val="22"/>
      <w:szCs w:val="22"/>
      <w:u w:val="none"/>
      <w:shd w:val="clear" w:color="auto" w:fill="auto"/>
      <w:vertAlign w:val="baseline"/>
    </w:rPr>
  </w:style>
  <w:style w:type="character" w:customStyle="1" w:styleId="199">
    <w:name w:val="ListLabel 57"/>
    <w:uiPriority w:val="0"/>
    <w:rPr>
      <w:rFonts w:eastAsia="Liberation Serif" w:cs="Liberation Serif"/>
      <w:color w:val="000000"/>
      <w:position w:val="0"/>
      <w:sz w:val="22"/>
      <w:szCs w:val="22"/>
      <w:u w:val="none"/>
      <w:shd w:val="clear" w:color="auto" w:fill="auto"/>
      <w:vertAlign w:val="baseline"/>
    </w:rPr>
  </w:style>
  <w:style w:type="character" w:customStyle="1" w:styleId="200">
    <w:name w:val="ListLabel 58"/>
    <w:uiPriority w:val="0"/>
    <w:rPr>
      <w:rFonts w:eastAsia="Liberation Serif" w:cs="Liberation Serif"/>
      <w:color w:val="000000"/>
      <w:position w:val="0"/>
      <w:sz w:val="22"/>
      <w:szCs w:val="22"/>
      <w:u w:val="none"/>
      <w:shd w:val="clear" w:color="auto" w:fill="auto"/>
      <w:vertAlign w:val="baseline"/>
    </w:rPr>
  </w:style>
  <w:style w:type="character" w:customStyle="1" w:styleId="201">
    <w:name w:val="ListLabel 59"/>
    <w:uiPriority w:val="0"/>
    <w:rPr>
      <w:rFonts w:eastAsia="Liberation Serif" w:cs="Liberation Serif"/>
      <w:color w:val="000000"/>
      <w:position w:val="0"/>
      <w:sz w:val="22"/>
      <w:szCs w:val="22"/>
      <w:u w:val="none"/>
      <w:shd w:val="clear" w:color="auto" w:fill="auto"/>
      <w:vertAlign w:val="baseline"/>
    </w:rPr>
  </w:style>
  <w:style w:type="character" w:customStyle="1" w:styleId="202">
    <w:name w:val="ListLabel 60"/>
    <w:uiPriority w:val="0"/>
    <w:rPr>
      <w:rFonts w:eastAsia="Liberation Serif" w:cs="Liberation Serif"/>
      <w:color w:val="000000"/>
      <w:position w:val="0"/>
      <w:sz w:val="22"/>
      <w:szCs w:val="22"/>
      <w:u w:val="none"/>
      <w:shd w:val="clear" w:color="auto" w:fill="auto"/>
      <w:vertAlign w:val="baseline"/>
    </w:rPr>
  </w:style>
  <w:style w:type="character" w:customStyle="1" w:styleId="203">
    <w:name w:val="ListLabel 61"/>
    <w:uiPriority w:val="0"/>
    <w:rPr>
      <w:rFonts w:eastAsia="Liberation Serif" w:cs="Liberation Serif"/>
      <w:color w:val="000000"/>
      <w:position w:val="0"/>
      <w:sz w:val="22"/>
      <w:szCs w:val="22"/>
      <w:u w:val="none"/>
      <w:shd w:val="clear" w:color="auto" w:fill="auto"/>
      <w:vertAlign w:val="baseline"/>
    </w:rPr>
  </w:style>
  <w:style w:type="character" w:customStyle="1" w:styleId="204">
    <w:name w:val="ListLabel 62"/>
    <w:uiPriority w:val="0"/>
    <w:rPr>
      <w:rFonts w:eastAsia="Liberation Serif" w:cs="Liberation Serif"/>
      <w:color w:val="000000"/>
      <w:position w:val="0"/>
      <w:sz w:val="22"/>
      <w:szCs w:val="22"/>
      <w:u w:val="none"/>
      <w:shd w:val="clear" w:color="auto" w:fill="auto"/>
      <w:vertAlign w:val="baseline"/>
    </w:rPr>
  </w:style>
  <w:style w:type="character" w:customStyle="1" w:styleId="205">
    <w:name w:val="ListLabel 63"/>
    <w:uiPriority w:val="0"/>
    <w:rPr>
      <w:rFonts w:eastAsia="Liberation Serif" w:cs="Liberation Serif"/>
      <w:color w:val="000000"/>
      <w:position w:val="0"/>
      <w:sz w:val="22"/>
      <w:szCs w:val="22"/>
      <w:u w:val="none"/>
      <w:shd w:val="clear" w:color="auto" w:fill="auto"/>
      <w:vertAlign w:val="baseline"/>
    </w:rPr>
  </w:style>
  <w:style w:type="character" w:customStyle="1" w:styleId="206">
    <w:name w:val="ListLabel 64"/>
    <w:uiPriority w:val="0"/>
    <w:rPr>
      <w:rFonts w:ascii="Liberation Serif" w:hAnsi="Liberation Serif" w:eastAsia="Liberation Serif" w:cs="Liberation Serif"/>
      <w:b/>
      <w:bCs/>
      <w:color w:val="000000"/>
      <w:position w:val="0"/>
      <w:sz w:val="21"/>
      <w:szCs w:val="21"/>
      <w:u w:val="none"/>
      <w:shd w:val="clear" w:color="auto" w:fill="auto"/>
      <w:vertAlign w:val="baseline"/>
    </w:rPr>
  </w:style>
  <w:style w:type="character" w:customStyle="1" w:styleId="207">
    <w:name w:val="ListLabel 65"/>
    <w:uiPriority w:val="0"/>
    <w:rPr>
      <w:rFonts w:ascii="Liberation Serif" w:hAnsi="Liberation Serif" w:eastAsia="Liberation Serif" w:cs="Liberation Serif"/>
      <w:b/>
      <w:bCs/>
      <w:color w:val="000000"/>
      <w:position w:val="0"/>
      <w:sz w:val="21"/>
      <w:szCs w:val="21"/>
      <w:u w:val="none"/>
      <w:shd w:val="clear" w:color="auto" w:fill="auto"/>
      <w:vertAlign w:val="baseline"/>
    </w:rPr>
  </w:style>
  <w:style w:type="character" w:customStyle="1" w:styleId="208">
    <w:name w:val="ListLabel 66"/>
    <w:uiPriority w:val="0"/>
    <w:rPr>
      <w:rFonts w:ascii="Liberation Serif" w:hAnsi="Liberation Serif" w:eastAsia="Liberation Serif" w:cs="Liberation Serif"/>
      <w:b/>
      <w:bCs/>
      <w:color w:val="000000"/>
      <w:position w:val="0"/>
      <w:sz w:val="21"/>
      <w:szCs w:val="21"/>
      <w:u w:val="none"/>
      <w:shd w:val="clear" w:color="auto" w:fill="auto"/>
      <w:vertAlign w:val="baseline"/>
    </w:rPr>
  </w:style>
  <w:style w:type="character" w:customStyle="1" w:styleId="209">
    <w:name w:val="ListLabel 67"/>
    <w:uiPriority w:val="0"/>
    <w:rPr>
      <w:rFonts w:ascii="Liberation Serif" w:hAnsi="Liberation Serif" w:eastAsia="Liberation Serif" w:cs="Liberation Serif"/>
      <w:b/>
      <w:bCs/>
      <w:color w:val="000000"/>
      <w:position w:val="0"/>
      <w:sz w:val="21"/>
      <w:szCs w:val="21"/>
      <w:u w:val="none"/>
      <w:shd w:val="clear" w:color="auto" w:fill="auto"/>
      <w:vertAlign w:val="baseline"/>
    </w:rPr>
  </w:style>
  <w:style w:type="character" w:customStyle="1" w:styleId="210">
    <w:name w:val="ListLabel 68"/>
    <w:uiPriority w:val="0"/>
    <w:rPr>
      <w:rFonts w:ascii="Liberation Serif" w:hAnsi="Liberation Serif" w:eastAsia="Liberation Serif" w:cs="Liberation Serif"/>
      <w:b/>
      <w:bCs/>
      <w:color w:val="000000"/>
      <w:position w:val="0"/>
      <w:sz w:val="21"/>
      <w:szCs w:val="21"/>
      <w:u w:val="none"/>
      <w:shd w:val="clear" w:color="auto" w:fill="auto"/>
      <w:vertAlign w:val="baseline"/>
    </w:rPr>
  </w:style>
  <w:style w:type="character" w:customStyle="1" w:styleId="211">
    <w:name w:val="ListLabel 69"/>
    <w:uiPriority w:val="0"/>
    <w:rPr>
      <w:rFonts w:ascii="Liberation Serif" w:hAnsi="Liberation Serif" w:eastAsia="Liberation Serif" w:cs="Liberation Serif"/>
      <w:b/>
      <w:bCs/>
      <w:color w:val="000000"/>
      <w:position w:val="0"/>
      <w:sz w:val="21"/>
      <w:szCs w:val="21"/>
      <w:u w:val="none"/>
      <w:shd w:val="clear" w:color="auto" w:fill="auto"/>
      <w:vertAlign w:val="baseline"/>
    </w:rPr>
  </w:style>
  <w:style w:type="character" w:customStyle="1" w:styleId="212">
    <w:name w:val="ListLabel 70"/>
    <w:uiPriority w:val="0"/>
    <w:rPr>
      <w:rFonts w:ascii="Liberation Serif" w:hAnsi="Liberation Serif" w:eastAsia="Liberation Serif" w:cs="Liberation Serif"/>
      <w:b/>
      <w:bCs/>
      <w:color w:val="000000"/>
      <w:position w:val="0"/>
      <w:sz w:val="21"/>
      <w:szCs w:val="21"/>
      <w:u w:val="none"/>
      <w:shd w:val="clear" w:color="auto" w:fill="auto"/>
      <w:vertAlign w:val="baseline"/>
    </w:rPr>
  </w:style>
  <w:style w:type="character" w:customStyle="1" w:styleId="213">
    <w:name w:val="ListLabel 71"/>
    <w:qFormat/>
    <w:uiPriority w:val="0"/>
    <w:rPr>
      <w:rFonts w:ascii="Liberation Serif" w:hAnsi="Liberation Serif" w:eastAsia="Liberation Serif" w:cs="Liberation Serif"/>
      <w:b/>
      <w:bCs/>
      <w:color w:val="000000"/>
      <w:position w:val="0"/>
      <w:sz w:val="21"/>
      <w:szCs w:val="21"/>
      <w:u w:val="none"/>
      <w:shd w:val="clear" w:color="auto" w:fill="auto"/>
      <w:vertAlign w:val="baseline"/>
    </w:rPr>
  </w:style>
  <w:style w:type="character" w:customStyle="1" w:styleId="214">
    <w:name w:val="ListLabel 72"/>
    <w:qFormat/>
    <w:uiPriority w:val="0"/>
    <w:rPr>
      <w:rFonts w:ascii="Liberation Serif" w:hAnsi="Liberation Serif" w:eastAsia="Liberation Serif" w:cs="Liberation Serif"/>
      <w:b/>
      <w:bCs/>
      <w:color w:val="000000"/>
      <w:position w:val="0"/>
      <w:sz w:val="21"/>
      <w:szCs w:val="21"/>
      <w:u w:val="none"/>
      <w:shd w:val="clear" w:color="auto" w:fill="auto"/>
      <w:vertAlign w:val="baseline"/>
    </w:rPr>
  </w:style>
  <w:style w:type="character" w:customStyle="1" w:styleId="215">
    <w:name w:val="ListLabel 73"/>
    <w:qFormat/>
    <w:uiPriority w:val="0"/>
    <w:rPr>
      <w:rFonts w:ascii="Liberation Serif" w:hAnsi="Liberation Serif" w:eastAsia="Liberation Serif" w:cs="Liberation Serif"/>
      <w:color w:val="000000"/>
      <w:position w:val="0"/>
      <w:sz w:val="21"/>
      <w:szCs w:val="21"/>
      <w:u w:val="none"/>
      <w:shd w:val="clear" w:color="auto" w:fill="auto"/>
      <w:vertAlign w:val="baseline"/>
    </w:rPr>
  </w:style>
  <w:style w:type="character" w:customStyle="1" w:styleId="216">
    <w:name w:val="ListLabel 74"/>
    <w:qFormat/>
    <w:uiPriority w:val="0"/>
    <w:rPr>
      <w:rFonts w:ascii="Liberation Serif" w:hAnsi="Liberation Serif" w:eastAsia="Liberation Serif" w:cs="Liberation Serif"/>
      <w:color w:val="000000"/>
      <w:position w:val="0"/>
      <w:sz w:val="21"/>
      <w:szCs w:val="21"/>
      <w:u w:val="none"/>
      <w:shd w:val="clear" w:color="auto" w:fill="auto"/>
      <w:vertAlign w:val="baseline"/>
    </w:rPr>
  </w:style>
  <w:style w:type="character" w:customStyle="1" w:styleId="217">
    <w:name w:val="ListLabel 75"/>
    <w:qFormat/>
    <w:uiPriority w:val="0"/>
    <w:rPr>
      <w:rFonts w:ascii="Liberation Serif" w:hAnsi="Liberation Serif" w:eastAsia="Liberation Serif" w:cs="Liberation Serif"/>
      <w:color w:val="000000"/>
      <w:position w:val="0"/>
      <w:sz w:val="21"/>
      <w:szCs w:val="21"/>
      <w:u w:val="none"/>
      <w:shd w:val="clear" w:color="auto" w:fill="auto"/>
      <w:vertAlign w:val="baseline"/>
    </w:rPr>
  </w:style>
  <w:style w:type="character" w:customStyle="1" w:styleId="218">
    <w:name w:val="ListLabel 76"/>
    <w:qFormat/>
    <w:uiPriority w:val="0"/>
    <w:rPr>
      <w:rFonts w:ascii="Liberation Serif" w:hAnsi="Liberation Serif" w:eastAsia="Liberation Serif" w:cs="Liberation Serif"/>
      <w:color w:val="000000"/>
      <w:position w:val="0"/>
      <w:sz w:val="21"/>
      <w:szCs w:val="21"/>
      <w:u w:val="none"/>
      <w:shd w:val="clear" w:color="auto" w:fill="auto"/>
      <w:vertAlign w:val="baseline"/>
    </w:rPr>
  </w:style>
  <w:style w:type="character" w:customStyle="1" w:styleId="219">
    <w:name w:val="ListLabel 77"/>
    <w:qFormat/>
    <w:uiPriority w:val="0"/>
    <w:rPr>
      <w:rFonts w:ascii="Liberation Serif" w:hAnsi="Liberation Serif" w:eastAsia="Liberation Serif" w:cs="Liberation Serif"/>
      <w:color w:val="000000"/>
      <w:position w:val="0"/>
      <w:sz w:val="21"/>
      <w:szCs w:val="21"/>
      <w:u w:val="none"/>
      <w:shd w:val="clear" w:color="auto" w:fill="auto"/>
      <w:vertAlign w:val="baseline"/>
    </w:rPr>
  </w:style>
  <w:style w:type="character" w:customStyle="1" w:styleId="220">
    <w:name w:val="ListLabel 78"/>
    <w:qFormat/>
    <w:uiPriority w:val="0"/>
    <w:rPr>
      <w:rFonts w:ascii="Liberation Serif" w:hAnsi="Liberation Serif" w:eastAsia="Liberation Serif" w:cs="Liberation Serif"/>
      <w:color w:val="000000"/>
      <w:position w:val="0"/>
      <w:sz w:val="21"/>
      <w:szCs w:val="21"/>
      <w:u w:val="none"/>
      <w:shd w:val="clear" w:color="auto" w:fill="auto"/>
      <w:vertAlign w:val="baseline"/>
    </w:rPr>
  </w:style>
  <w:style w:type="character" w:customStyle="1" w:styleId="221">
    <w:name w:val="ListLabel 79"/>
    <w:qFormat/>
    <w:uiPriority w:val="0"/>
    <w:rPr>
      <w:rFonts w:ascii="Liberation Serif" w:hAnsi="Liberation Serif" w:eastAsia="Liberation Serif" w:cs="Liberation Serif"/>
      <w:color w:val="000000"/>
      <w:position w:val="0"/>
      <w:sz w:val="21"/>
      <w:szCs w:val="21"/>
      <w:u w:val="none"/>
      <w:shd w:val="clear" w:color="auto" w:fill="auto"/>
      <w:vertAlign w:val="baseline"/>
    </w:rPr>
  </w:style>
  <w:style w:type="character" w:customStyle="1" w:styleId="222">
    <w:name w:val="ListLabel 80"/>
    <w:qFormat/>
    <w:uiPriority w:val="0"/>
    <w:rPr>
      <w:rFonts w:ascii="Liberation Serif" w:hAnsi="Liberation Serif" w:eastAsia="Liberation Serif" w:cs="Liberation Serif"/>
      <w:color w:val="000000"/>
      <w:position w:val="0"/>
      <w:sz w:val="21"/>
      <w:szCs w:val="21"/>
      <w:u w:val="none"/>
      <w:shd w:val="clear" w:color="auto" w:fill="auto"/>
      <w:vertAlign w:val="baseline"/>
    </w:rPr>
  </w:style>
  <w:style w:type="character" w:customStyle="1" w:styleId="223">
    <w:name w:val="ListLabel 81"/>
    <w:qFormat/>
    <w:uiPriority w:val="0"/>
    <w:rPr>
      <w:rFonts w:ascii="Liberation Serif" w:hAnsi="Liberation Serif" w:eastAsia="Liberation Serif" w:cs="Liberation Serif"/>
      <w:color w:val="000000"/>
      <w:position w:val="0"/>
      <w:sz w:val="21"/>
      <w:szCs w:val="21"/>
      <w:u w:val="none"/>
      <w:shd w:val="clear" w:color="auto" w:fill="auto"/>
      <w:vertAlign w:val="baseline"/>
    </w:rPr>
  </w:style>
  <w:style w:type="character" w:customStyle="1" w:styleId="224">
    <w:name w:val="Footnote Symbol"/>
    <w:qFormat/>
    <w:uiPriority w:val="0"/>
  </w:style>
  <w:style w:type="character" w:customStyle="1" w:styleId="225">
    <w:name w:val="Footnote anchor"/>
    <w:qFormat/>
    <w:uiPriority w:val="0"/>
    <w:rPr>
      <w:position w:val="0"/>
      <w:vertAlign w:val="superscript"/>
    </w:rPr>
  </w:style>
  <w:style w:type="character" w:customStyle="1" w:styleId="226">
    <w:name w:val="Bullet Symbols"/>
    <w:qFormat/>
    <w:uiPriority w:val="0"/>
    <w:rPr>
      <w:rFonts w:ascii="OpenSymbol" w:hAnsi="OpenSymbol" w:eastAsia="OpenSymbol" w:cs="OpenSymbol"/>
    </w:rPr>
  </w:style>
  <w:style w:type="character" w:customStyle="1" w:styleId="227">
    <w:name w:val="go"/>
    <w:basedOn w:val="9"/>
    <w:qFormat/>
    <w:uiPriority w:val="0"/>
  </w:style>
  <w:style w:type="character" w:customStyle="1" w:styleId="228">
    <w:name w:val="Internet link"/>
    <w:qFormat/>
    <w:uiPriority w:val="0"/>
    <w:rPr>
      <w:color w:val="000080"/>
      <w:u w:val="single"/>
    </w:rPr>
  </w:style>
  <w:style w:type="character" w:customStyle="1" w:styleId="229">
    <w:name w:val="Menção Pendente2"/>
    <w:basedOn w:val="9"/>
    <w:unhideWhenUsed/>
    <w:qFormat/>
    <w:uiPriority w:val="0"/>
    <w:rPr>
      <w:color w:val="605E5C"/>
      <w:shd w:val="clear" w:color="auto" w:fill="E1DFDD"/>
    </w:rPr>
  </w:style>
  <w:style w:type="paragraph" w:customStyle="1" w:styleId="230">
    <w:name w:val="texto"/>
    <w:qFormat/>
    <w:uiPriority w:val="0"/>
    <w:pPr>
      <w:tabs>
        <w:tab w:val="left" w:pos="878"/>
        <w:tab w:val="left" w:pos="1586"/>
        <w:tab w:val="left" w:pos="2294"/>
        <w:tab w:val="left" w:pos="3002"/>
        <w:tab w:val="left" w:pos="3710"/>
        <w:tab w:val="left" w:pos="4418"/>
        <w:tab w:val="left" w:pos="5126"/>
        <w:tab w:val="left" w:pos="5834"/>
        <w:tab w:val="left" w:pos="6542"/>
        <w:tab w:val="left" w:pos="7250"/>
        <w:tab w:val="left" w:pos="7958"/>
        <w:tab w:val="left" w:pos="8666"/>
        <w:tab w:val="left" w:pos="9374"/>
        <w:tab w:val="left" w:pos="10082"/>
        <w:tab w:val="left" w:pos="10790"/>
        <w:tab w:val="left" w:pos="11498"/>
        <w:tab w:val="left" w:pos="12206"/>
        <w:tab w:val="left" w:pos="12914"/>
        <w:tab w:val="left" w:pos="13622"/>
        <w:tab w:val="left" w:pos="14330"/>
        <w:tab w:val="left" w:pos="15038"/>
        <w:tab w:val="left" w:pos="15746"/>
        <w:tab w:val="left" w:pos="16454"/>
        <w:tab w:val="left" w:pos="17162"/>
        <w:tab w:val="left" w:pos="17870"/>
        <w:tab w:val="left" w:pos="18578"/>
        <w:tab w:val="left" w:pos="19286"/>
        <w:tab w:val="left" w:pos="19994"/>
        <w:tab w:val="left" w:pos="20702"/>
        <w:tab w:val="left" w:pos="21410"/>
        <w:tab w:val="left" w:pos="22118"/>
        <w:tab w:val="left" w:pos="22826"/>
        <w:tab w:val="left" w:pos="23534"/>
        <w:tab w:val="left" w:pos="24242"/>
        <w:tab w:val="left" w:pos="24950"/>
        <w:tab w:val="left" w:pos="25658"/>
        <w:tab w:val="left" w:pos="26366"/>
        <w:tab w:val="left" w:pos="27074"/>
        <w:tab w:val="left" w:pos="27782"/>
        <w:tab w:val="left" w:pos="28490"/>
      </w:tabs>
      <w:suppressAutoHyphens/>
      <w:autoSpaceDE w:val="0"/>
      <w:autoSpaceDN w:val="0"/>
      <w:spacing w:line="240" w:lineRule="atLeast"/>
      <w:ind w:left="170" w:hanging="170"/>
      <w:jc w:val="both"/>
      <w:textAlignment w:val="baseline"/>
    </w:pPr>
    <w:rPr>
      <w:rFonts w:ascii="Times New Roman" w:hAnsi="Times New Roman" w:eastAsia="Times New Roman" w:cs="Times New Roman"/>
      <w:kern w:val="3"/>
      <w:lang w:val="pt-BR" w:eastAsia="zh-CN" w:bidi="ar-SA"/>
    </w:rPr>
  </w:style>
  <w:style w:type="paragraph" w:customStyle="1" w:styleId="231">
    <w:name w:val="Quotations"/>
    <w:basedOn w:val="19"/>
    <w:qFormat/>
    <w:uiPriority w:val="0"/>
    <w:pPr>
      <w:widowControl w:val="0"/>
      <w:spacing w:after="283" w:line="240" w:lineRule="auto"/>
      <w:ind w:left="567" w:right="567" w:firstLine="0"/>
      <w:jc w:val="left"/>
    </w:pPr>
    <w:rPr>
      <w:rFonts w:ascii="Times New Roman" w:hAnsi="Times New Roman" w:eastAsia="SimSun" w:cs="Tahoma"/>
      <w:color w:val="auto"/>
      <w:kern w:val="3"/>
      <w:szCs w:val="24"/>
      <w:lang w:eastAsia="zh-CN" w:bidi="hi-IN"/>
    </w:rPr>
  </w:style>
  <w:style w:type="paragraph" w:customStyle="1" w:styleId="232">
    <w:name w:val="EP Tabela"/>
    <w:basedOn w:val="1"/>
    <w:qFormat/>
    <w:uiPriority w:val="0"/>
    <w:pPr>
      <w:widowControl w:val="0"/>
      <w:suppressAutoHyphens/>
      <w:autoSpaceDN w:val="0"/>
      <w:jc w:val="center"/>
      <w:textAlignment w:val="baseline"/>
    </w:pPr>
    <w:rPr>
      <w:rFonts w:eastAsia="SimSun" w:cs="Arial"/>
      <w:b/>
      <w:kern w:val="3"/>
      <w:sz w:val="22"/>
      <w:szCs w:val="24"/>
      <w:lang w:eastAsia="ar-SA" w:bidi="hi-IN"/>
    </w:rPr>
  </w:style>
  <w:style w:type="paragraph" w:customStyle="1" w:styleId="233">
    <w:name w:val="EP Conteudotabela"/>
    <w:basedOn w:val="1"/>
    <w:qFormat/>
    <w:uiPriority w:val="0"/>
    <w:pPr>
      <w:widowControl w:val="0"/>
      <w:tabs>
        <w:tab w:val="left" w:pos="-302"/>
      </w:tabs>
      <w:suppressAutoHyphens/>
      <w:autoSpaceDN w:val="0"/>
      <w:spacing w:line="100" w:lineRule="atLeast"/>
      <w:ind w:left="23" w:firstLine="45"/>
      <w:textAlignment w:val="baseline"/>
    </w:pPr>
    <w:rPr>
      <w:rFonts w:eastAsia="SimSun" w:cs="Arial"/>
      <w:kern w:val="3"/>
      <w:sz w:val="24"/>
      <w:szCs w:val="24"/>
      <w:lang w:eastAsia="ar-SA" w:bidi="hi-IN"/>
    </w:rPr>
  </w:style>
  <w:style w:type="paragraph" w:customStyle="1" w:styleId="234">
    <w:name w:val="western"/>
    <w:basedOn w:val="1"/>
    <w:qFormat/>
    <w:uiPriority w:val="0"/>
    <w:pPr>
      <w:suppressAutoHyphens/>
      <w:autoSpaceDN w:val="0"/>
      <w:spacing w:before="100" w:after="119"/>
      <w:textAlignment w:val="baseline"/>
    </w:pPr>
    <w:rPr>
      <w:sz w:val="24"/>
      <w:szCs w:val="24"/>
    </w:rPr>
  </w:style>
  <w:style w:type="paragraph" w:customStyle="1" w:styleId="235">
    <w:name w:val="msonormal"/>
    <w:basedOn w:val="1"/>
    <w:qFormat/>
    <w:uiPriority w:val="0"/>
    <w:pPr>
      <w:spacing w:before="100" w:beforeAutospacing="1" w:after="100" w:afterAutospacing="1"/>
    </w:pPr>
    <w:rPr>
      <w:sz w:val="24"/>
      <w:szCs w:val="24"/>
    </w:rPr>
  </w:style>
  <w:style w:type="paragraph" w:customStyle="1" w:styleId="236">
    <w:name w:val="xl64"/>
    <w:basedOn w:val="1"/>
    <w:qFormat/>
    <w:uiPriority w:val="0"/>
    <w:pPr>
      <w:pBdr>
        <w:top w:val="single" w:color="auto" w:sz="8" w:space="0"/>
        <w:bottom w:val="single" w:color="auto" w:sz="8" w:space="0"/>
        <w:right w:val="single" w:color="auto" w:sz="8" w:space="0"/>
      </w:pBdr>
      <w:spacing w:before="100" w:beforeAutospacing="1" w:after="100" w:afterAutospacing="1"/>
      <w:jc w:val="center"/>
      <w:textAlignment w:val="center"/>
    </w:pPr>
    <w:rPr>
      <w:color w:val="000000"/>
      <w:sz w:val="24"/>
      <w:szCs w:val="24"/>
    </w:rPr>
  </w:style>
  <w:style w:type="paragraph" w:customStyle="1" w:styleId="237">
    <w:name w:val="xl65"/>
    <w:basedOn w:val="1"/>
    <w:qFormat/>
    <w:uiPriority w:val="0"/>
    <w:pPr>
      <w:pBdr>
        <w:bottom w:val="single" w:color="auto" w:sz="8" w:space="0"/>
        <w:right w:val="single" w:color="auto" w:sz="8" w:space="0"/>
      </w:pBdr>
      <w:spacing w:before="100" w:beforeAutospacing="1" w:after="100" w:afterAutospacing="1"/>
      <w:jc w:val="center"/>
      <w:textAlignment w:val="center"/>
    </w:pPr>
    <w:rPr>
      <w:color w:val="000000"/>
      <w:sz w:val="24"/>
      <w:szCs w:val="24"/>
    </w:rPr>
  </w:style>
  <w:style w:type="paragraph" w:customStyle="1" w:styleId="238">
    <w:name w:val="xl66"/>
    <w:basedOn w:val="1"/>
    <w:qFormat/>
    <w:uiPriority w:val="0"/>
    <w:pPr>
      <w:pBdr>
        <w:right w:val="single" w:color="auto" w:sz="8" w:space="0"/>
      </w:pBdr>
      <w:spacing w:before="100" w:beforeAutospacing="1" w:after="100" w:afterAutospacing="1"/>
      <w:jc w:val="center"/>
      <w:textAlignment w:val="center"/>
    </w:pPr>
    <w:rPr>
      <w:color w:val="000000"/>
      <w:sz w:val="24"/>
      <w:szCs w:val="24"/>
    </w:rPr>
  </w:style>
  <w:style w:type="paragraph" w:customStyle="1" w:styleId="239">
    <w:name w:val="xl67"/>
    <w:basedOn w:val="1"/>
    <w:qFormat/>
    <w:uiPriority w:val="0"/>
    <w:pPr>
      <w:pBdr>
        <w:left w:val="single" w:color="auto" w:sz="8" w:space="0"/>
        <w:bottom w:val="single" w:color="auto" w:sz="8" w:space="0"/>
      </w:pBdr>
      <w:spacing w:before="100" w:beforeAutospacing="1" w:after="100" w:afterAutospacing="1"/>
      <w:jc w:val="center"/>
      <w:textAlignment w:val="center"/>
    </w:pPr>
    <w:rPr>
      <w:color w:val="000000"/>
      <w:sz w:val="24"/>
      <w:szCs w:val="24"/>
    </w:rPr>
  </w:style>
  <w:style w:type="paragraph" w:customStyle="1" w:styleId="240">
    <w:name w:val="xl68"/>
    <w:basedOn w:val="1"/>
    <w:qFormat/>
    <w:uiPriority w:val="0"/>
    <w:pPr>
      <w:pBdr>
        <w:bottom w:val="single" w:color="auto" w:sz="8" w:space="0"/>
      </w:pBdr>
      <w:spacing w:before="100" w:beforeAutospacing="1" w:after="100" w:afterAutospacing="1"/>
      <w:jc w:val="center"/>
      <w:textAlignment w:val="center"/>
    </w:pPr>
    <w:rPr>
      <w:color w:val="000000"/>
      <w:sz w:val="24"/>
      <w:szCs w:val="24"/>
    </w:rPr>
  </w:style>
  <w:style w:type="paragraph" w:customStyle="1" w:styleId="241">
    <w:name w:val="xl69"/>
    <w:basedOn w:val="1"/>
    <w:qFormat/>
    <w:uiPriority w:val="0"/>
    <w:pPr>
      <w:pBdr>
        <w:top w:val="single" w:color="auto" w:sz="8" w:space="0"/>
        <w:left w:val="single" w:color="auto" w:sz="8" w:space="0"/>
        <w:bottom w:val="single" w:color="auto" w:sz="8" w:space="0"/>
        <w:right w:val="single" w:color="auto" w:sz="8" w:space="0"/>
      </w:pBdr>
      <w:spacing w:before="100" w:beforeAutospacing="1" w:after="100" w:afterAutospacing="1"/>
      <w:jc w:val="center"/>
      <w:textAlignment w:val="center"/>
    </w:pPr>
    <w:rPr>
      <w:color w:val="000000"/>
      <w:sz w:val="24"/>
      <w:szCs w:val="24"/>
    </w:rPr>
  </w:style>
  <w:style w:type="paragraph" w:customStyle="1" w:styleId="242">
    <w:name w:val="xl70"/>
    <w:basedOn w:val="1"/>
    <w:qFormat/>
    <w:uiPriority w:val="0"/>
    <w:pPr>
      <w:pBdr>
        <w:top w:val="single" w:color="auto" w:sz="8" w:space="0"/>
        <w:bottom w:val="single" w:color="auto" w:sz="8" w:space="0"/>
        <w:right w:val="single" w:color="auto" w:sz="8" w:space="0"/>
      </w:pBdr>
      <w:spacing w:before="100" w:beforeAutospacing="1" w:after="100" w:afterAutospacing="1"/>
      <w:jc w:val="center"/>
      <w:textAlignment w:val="center"/>
    </w:pPr>
    <w:rPr>
      <w:color w:val="000000"/>
      <w:sz w:val="24"/>
      <w:szCs w:val="24"/>
    </w:rPr>
  </w:style>
  <w:style w:type="paragraph" w:customStyle="1" w:styleId="243">
    <w:name w:val="xl71"/>
    <w:basedOn w:val="1"/>
    <w:qFormat/>
    <w:uiPriority w:val="0"/>
    <w:pPr>
      <w:pBdr>
        <w:left w:val="single" w:color="auto" w:sz="8" w:space="0"/>
        <w:bottom w:val="single" w:color="auto" w:sz="8" w:space="0"/>
        <w:right w:val="single" w:color="auto" w:sz="8" w:space="0"/>
      </w:pBdr>
      <w:spacing w:before="100" w:beforeAutospacing="1" w:after="100" w:afterAutospacing="1"/>
      <w:jc w:val="center"/>
      <w:textAlignment w:val="center"/>
    </w:pPr>
    <w:rPr>
      <w:rFonts w:ascii="Arial" w:hAnsi="Arial" w:cs="Arial"/>
      <w:color w:val="000000"/>
    </w:rPr>
  </w:style>
  <w:style w:type="paragraph" w:customStyle="1" w:styleId="244">
    <w:name w:val="xl72"/>
    <w:basedOn w:val="1"/>
    <w:qFormat/>
    <w:uiPriority w:val="0"/>
    <w:pPr>
      <w:pBdr>
        <w:bottom w:val="single" w:color="auto" w:sz="8" w:space="0"/>
        <w:right w:val="single" w:color="auto" w:sz="8" w:space="0"/>
      </w:pBdr>
      <w:spacing w:before="100" w:beforeAutospacing="1" w:after="100" w:afterAutospacing="1"/>
      <w:jc w:val="center"/>
      <w:textAlignment w:val="center"/>
    </w:pPr>
    <w:rPr>
      <w:color w:val="000000"/>
      <w:sz w:val="24"/>
      <w:szCs w:val="24"/>
    </w:rPr>
  </w:style>
  <w:style w:type="paragraph" w:customStyle="1" w:styleId="245">
    <w:name w:val="xl73"/>
    <w:basedOn w:val="1"/>
    <w:qFormat/>
    <w:uiPriority w:val="0"/>
    <w:pPr>
      <w:pBdr>
        <w:left w:val="single" w:color="auto" w:sz="8" w:space="0"/>
        <w:right w:val="single" w:color="auto" w:sz="8" w:space="0"/>
      </w:pBdr>
      <w:spacing w:before="100" w:beforeAutospacing="1" w:after="100" w:afterAutospacing="1"/>
      <w:jc w:val="center"/>
      <w:textAlignment w:val="center"/>
    </w:pPr>
    <w:rPr>
      <w:rFonts w:ascii="Arial" w:hAnsi="Arial" w:cs="Arial"/>
      <w:color w:val="000000"/>
    </w:rPr>
  </w:style>
  <w:style w:type="paragraph" w:customStyle="1" w:styleId="246">
    <w:name w:val="xl74"/>
    <w:basedOn w:val="1"/>
    <w:qFormat/>
    <w:uiPriority w:val="0"/>
    <w:pPr>
      <w:pBdr>
        <w:right w:val="single" w:color="auto" w:sz="8" w:space="0"/>
      </w:pBdr>
      <w:spacing w:before="100" w:beforeAutospacing="1" w:after="100" w:afterAutospacing="1"/>
      <w:jc w:val="center"/>
      <w:textAlignment w:val="center"/>
    </w:pPr>
    <w:rPr>
      <w:color w:val="000000"/>
      <w:sz w:val="24"/>
      <w:szCs w:val="24"/>
    </w:rPr>
  </w:style>
  <w:style w:type="paragraph" w:customStyle="1" w:styleId="247">
    <w:name w:val="xl75"/>
    <w:basedOn w:val="1"/>
    <w:qFormat/>
    <w:uiPriority w:val="0"/>
    <w:pPr>
      <w:pBdr>
        <w:top w:val="single" w:color="auto" w:sz="8" w:space="0"/>
        <w:left w:val="single" w:color="auto" w:sz="8" w:space="0"/>
        <w:bottom w:val="single" w:color="auto" w:sz="8" w:space="0"/>
        <w:right w:val="single" w:color="auto" w:sz="8" w:space="0"/>
      </w:pBdr>
      <w:spacing w:before="100" w:beforeAutospacing="1" w:after="100" w:afterAutospacing="1"/>
      <w:jc w:val="center"/>
      <w:textAlignment w:val="center"/>
    </w:pPr>
    <w:rPr>
      <w:rFonts w:ascii="Arial" w:hAnsi="Arial" w:cs="Arial"/>
      <w:color w:val="000000"/>
    </w:rPr>
  </w:style>
  <w:style w:type="paragraph" w:customStyle="1" w:styleId="248">
    <w:name w:val="xl76"/>
    <w:basedOn w:val="1"/>
    <w:qFormat/>
    <w:uiPriority w:val="0"/>
    <w:pPr>
      <w:pBdr>
        <w:left w:val="single" w:color="auto" w:sz="8" w:space="0"/>
        <w:bottom w:val="single" w:color="auto" w:sz="8" w:space="0"/>
      </w:pBdr>
      <w:spacing w:before="100" w:beforeAutospacing="1" w:after="100" w:afterAutospacing="1"/>
      <w:jc w:val="center"/>
      <w:textAlignment w:val="center"/>
    </w:pPr>
    <w:rPr>
      <w:rFonts w:ascii="Arial" w:hAnsi="Arial" w:cs="Arial"/>
      <w:color w:val="000000"/>
    </w:rPr>
  </w:style>
  <w:style w:type="paragraph" w:customStyle="1" w:styleId="249">
    <w:name w:val="xl77"/>
    <w:basedOn w:val="1"/>
    <w:qFormat/>
    <w:uiPriority w:val="0"/>
    <w:pPr>
      <w:pBdr>
        <w:left w:val="single" w:color="auto" w:sz="8" w:space="0"/>
        <w:bottom w:val="single" w:color="auto" w:sz="8" w:space="0"/>
      </w:pBdr>
      <w:spacing w:before="100" w:beforeAutospacing="1" w:after="100" w:afterAutospacing="1"/>
      <w:jc w:val="center"/>
      <w:textAlignment w:val="center"/>
    </w:pPr>
    <w:rPr>
      <w:color w:val="000000"/>
      <w:sz w:val="24"/>
      <w:szCs w:val="24"/>
    </w:rPr>
  </w:style>
  <w:style w:type="paragraph" w:customStyle="1" w:styleId="250">
    <w:name w:val="xl78"/>
    <w:basedOn w:val="1"/>
    <w:qFormat/>
    <w:uiPriority w:val="0"/>
    <w:pPr>
      <w:pBdr>
        <w:left w:val="single" w:color="auto" w:sz="8" w:space="0"/>
        <w:bottom w:val="single" w:color="auto" w:sz="8" w:space="0"/>
        <w:right w:val="single" w:color="auto" w:sz="8" w:space="0"/>
      </w:pBdr>
      <w:spacing w:before="100" w:beforeAutospacing="1" w:after="100" w:afterAutospacing="1"/>
      <w:jc w:val="center"/>
      <w:textAlignment w:val="center"/>
    </w:pPr>
    <w:rPr>
      <w:color w:val="000000"/>
      <w:sz w:val="24"/>
      <w:szCs w:val="24"/>
    </w:rPr>
  </w:style>
  <w:style w:type="paragraph" w:customStyle="1" w:styleId="251">
    <w:name w:val="xl79"/>
    <w:basedOn w:val="1"/>
    <w:qFormat/>
    <w:uiPriority w:val="0"/>
    <w:pPr>
      <w:spacing w:before="100" w:beforeAutospacing="1" w:after="100" w:afterAutospacing="1"/>
      <w:jc w:val="center"/>
      <w:textAlignment w:val="center"/>
    </w:pPr>
    <w:rPr>
      <w:rFonts w:ascii="Arial" w:hAnsi="Arial" w:cs="Arial"/>
      <w:color w:val="000000"/>
    </w:rPr>
  </w:style>
  <w:style w:type="paragraph" w:customStyle="1" w:styleId="252">
    <w:name w:val="xl80"/>
    <w:basedOn w:val="1"/>
    <w:qFormat/>
    <w:uiPriority w:val="0"/>
    <w:pPr>
      <w:spacing w:before="100" w:beforeAutospacing="1" w:after="100" w:afterAutospacing="1"/>
      <w:jc w:val="center"/>
      <w:textAlignment w:val="center"/>
    </w:pPr>
    <w:rPr>
      <w:color w:val="000000"/>
      <w:sz w:val="24"/>
      <w:szCs w:val="24"/>
    </w:rPr>
  </w:style>
  <w:style w:type="paragraph" w:customStyle="1" w:styleId="253">
    <w:name w:val="xl81"/>
    <w:basedOn w:val="1"/>
    <w:qFormat/>
    <w:uiPriority w:val="0"/>
    <w:pPr>
      <w:spacing w:before="100" w:beforeAutospacing="1" w:after="100" w:afterAutospacing="1"/>
      <w:jc w:val="center"/>
      <w:textAlignment w:val="center"/>
    </w:pPr>
    <w:rPr>
      <w:color w:val="000000"/>
      <w:sz w:val="24"/>
      <w:szCs w:val="24"/>
    </w:rPr>
  </w:style>
  <w:style w:type="paragraph" w:customStyle="1" w:styleId="254">
    <w:name w:val="xl82"/>
    <w:basedOn w:val="1"/>
    <w:qFormat/>
    <w:uiPriority w:val="0"/>
    <w:pPr>
      <w:pBdr>
        <w:left w:val="single" w:color="auto" w:sz="8" w:space="0"/>
        <w:bottom w:val="single" w:color="auto" w:sz="4" w:space="0"/>
        <w:right w:val="single" w:color="auto" w:sz="8" w:space="0"/>
      </w:pBdr>
      <w:spacing w:before="100" w:beforeAutospacing="1" w:after="100" w:afterAutospacing="1"/>
      <w:jc w:val="center"/>
      <w:textAlignment w:val="center"/>
    </w:pPr>
    <w:rPr>
      <w:rFonts w:ascii="Arial" w:hAnsi="Arial" w:cs="Arial"/>
      <w:color w:val="000000"/>
    </w:rPr>
  </w:style>
  <w:style w:type="paragraph" w:customStyle="1" w:styleId="255">
    <w:name w:val="xl83"/>
    <w:basedOn w:val="1"/>
    <w:qFormat/>
    <w:uiPriority w:val="0"/>
    <w:pPr>
      <w:pBdr>
        <w:bottom w:val="single" w:color="auto" w:sz="4" w:space="0"/>
        <w:right w:val="single" w:color="auto" w:sz="8" w:space="0"/>
      </w:pBdr>
      <w:spacing w:before="100" w:beforeAutospacing="1" w:after="100" w:afterAutospacing="1"/>
      <w:jc w:val="center"/>
      <w:textAlignment w:val="center"/>
    </w:pPr>
    <w:rPr>
      <w:color w:val="000000"/>
      <w:sz w:val="24"/>
      <w:szCs w:val="24"/>
    </w:rPr>
  </w:style>
  <w:style w:type="paragraph" w:customStyle="1" w:styleId="256">
    <w:name w:val="xl84"/>
    <w:basedOn w:val="1"/>
    <w:qFormat/>
    <w:uiPriority w:val="0"/>
    <w:pPr>
      <w:pBdr>
        <w:bottom w:val="single" w:color="auto" w:sz="4" w:space="0"/>
        <w:right w:val="single" w:color="auto" w:sz="8" w:space="0"/>
      </w:pBdr>
      <w:spacing w:before="100" w:beforeAutospacing="1" w:after="100" w:afterAutospacing="1"/>
      <w:jc w:val="center"/>
      <w:textAlignment w:val="center"/>
    </w:pPr>
    <w:rPr>
      <w:color w:val="000000"/>
      <w:sz w:val="24"/>
      <w:szCs w:val="24"/>
    </w:rPr>
  </w:style>
  <w:style w:type="paragraph" w:customStyle="1" w:styleId="257">
    <w:name w:val="xl85"/>
    <w:basedOn w:val="1"/>
    <w:qFormat/>
    <w:uiPriority w:val="0"/>
    <w:pPr>
      <w:pBdr>
        <w:top w:val="single" w:color="auto" w:sz="4" w:space="0"/>
        <w:left w:val="single" w:color="auto" w:sz="8" w:space="0"/>
        <w:bottom w:val="single" w:color="auto" w:sz="8" w:space="0"/>
        <w:right w:val="single" w:color="auto" w:sz="8" w:space="0"/>
      </w:pBdr>
      <w:spacing w:before="100" w:beforeAutospacing="1" w:after="100" w:afterAutospacing="1"/>
      <w:jc w:val="center"/>
      <w:textAlignment w:val="center"/>
    </w:pPr>
    <w:rPr>
      <w:rFonts w:ascii="Arial" w:hAnsi="Arial" w:cs="Arial"/>
      <w:color w:val="000000"/>
    </w:rPr>
  </w:style>
  <w:style w:type="paragraph" w:customStyle="1" w:styleId="258">
    <w:name w:val="xl86"/>
    <w:basedOn w:val="1"/>
    <w:qFormat/>
    <w:uiPriority w:val="0"/>
    <w:pPr>
      <w:pBdr>
        <w:top w:val="single" w:color="auto" w:sz="4" w:space="0"/>
        <w:bottom w:val="single" w:color="auto" w:sz="8" w:space="0"/>
        <w:right w:val="single" w:color="auto" w:sz="8" w:space="0"/>
      </w:pBdr>
      <w:spacing w:before="100" w:beforeAutospacing="1" w:after="100" w:afterAutospacing="1"/>
      <w:jc w:val="center"/>
      <w:textAlignment w:val="center"/>
    </w:pPr>
    <w:rPr>
      <w:color w:val="000000"/>
      <w:sz w:val="24"/>
      <w:szCs w:val="24"/>
    </w:rPr>
  </w:style>
  <w:style w:type="paragraph" w:customStyle="1" w:styleId="259">
    <w:name w:val="xl87"/>
    <w:basedOn w:val="1"/>
    <w:qFormat/>
    <w:uiPriority w:val="0"/>
    <w:pPr>
      <w:pBdr>
        <w:top w:val="single" w:color="auto" w:sz="4" w:space="0"/>
        <w:bottom w:val="single" w:color="auto" w:sz="8" w:space="0"/>
        <w:right w:val="single" w:color="auto" w:sz="8" w:space="0"/>
      </w:pBdr>
      <w:spacing w:before="100" w:beforeAutospacing="1" w:after="100" w:afterAutospacing="1"/>
      <w:jc w:val="center"/>
      <w:textAlignment w:val="center"/>
    </w:pPr>
    <w:rPr>
      <w:color w:val="000000"/>
      <w:sz w:val="24"/>
      <w:szCs w:val="24"/>
    </w:rPr>
  </w:style>
  <w:style w:type="paragraph" w:customStyle="1" w:styleId="260">
    <w:name w:val="xl88"/>
    <w:basedOn w:val="1"/>
    <w:qFormat/>
    <w:uiPriority w:val="0"/>
    <w:pPr>
      <w:pBdr>
        <w:top w:val="single" w:color="auto" w:sz="4" w:space="0"/>
        <w:bottom w:val="single" w:color="auto" w:sz="8" w:space="0"/>
      </w:pBdr>
      <w:spacing w:before="100" w:beforeAutospacing="1" w:after="100" w:afterAutospacing="1"/>
      <w:jc w:val="center"/>
      <w:textAlignment w:val="center"/>
    </w:pPr>
    <w:rPr>
      <w:color w:val="000000"/>
      <w:sz w:val="24"/>
      <w:szCs w:val="24"/>
    </w:rPr>
  </w:style>
  <w:style w:type="paragraph" w:customStyle="1" w:styleId="261">
    <w:name w:val="xl89"/>
    <w:basedOn w:val="1"/>
    <w:qFormat/>
    <w:uiPriority w:val="0"/>
    <w:pPr>
      <w:spacing w:before="100" w:beforeAutospacing="1" w:after="100" w:afterAutospacing="1"/>
      <w:jc w:val="center"/>
    </w:pPr>
    <w:rPr>
      <w:sz w:val="24"/>
      <w:szCs w:val="24"/>
    </w:rPr>
  </w:style>
  <w:style w:type="paragraph" w:customStyle="1" w:styleId="262">
    <w:name w:val="xl90"/>
    <w:basedOn w:val="1"/>
    <w:qFormat/>
    <w:uiPriority w:val="0"/>
    <w:pPr>
      <w:pBdr>
        <w:top w:val="single" w:color="auto" w:sz="4" w:space="0"/>
      </w:pBdr>
      <w:spacing w:before="100" w:beforeAutospacing="1" w:after="100" w:afterAutospacing="1"/>
      <w:jc w:val="center"/>
      <w:textAlignment w:val="center"/>
    </w:pPr>
    <w:rPr>
      <w:rFonts w:ascii="Arial" w:hAnsi="Arial" w:cs="Arial"/>
      <w:color w:val="000000"/>
    </w:rPr>
  </w:style>
  <w:style w:type="paragraph" w:customStyle="1" w:styleId="263">
    <w:name w:val="xl91"/>
    <w:basedOn w:val="1"/>
    <w:qFormat/>
    <w:uiPriority w:val="0"/>
    <w:pPr>
      <w:pBdr>
        <w:top w:val="single" w:color="auto" w:sz="4" w:space="0"/>
      </w:pBdr>
      <w:spacing w:before="100" w:beforeAutospacing="1" w:after="100" w:afterAutospacing="1"/>
      <w:jc w:val="center"/>
      <w:textAlignment w:val="center"/>
    </w:pPr>
    <w:rPr>
      <w:color w:val="000000"/>
      <w:sz w:val="24"/>
      <w:szCs w:val="24"/>
    </w:rPr>
  </w:style>
  <w:style w:type="paragraph" w:customStyle="1" w:styleId="264">
    <w:name w:val="xl92"/>
    <w:basedOn w:val="1"/>
    <w:qFormat/>
    <w:uiPriority w:val="0"/>
    <w:pPr>
      <w:pBdr>
        <w:top w:val="single" w:color="auto" w:sz="4" w:space="0"/>
      </w:pBdr>
      <w:spacing w:before="100" w:beforeAutospacing="1" w:after="100" w:afterAutospacing="1"/>
      <w:jc w:val="center"/>
      <w:textAlignment w:val="center"/>
    </w:pPr>
    <w:rPr>
      <w:color w:val="000000"/>
      <w:sz w:val="24"/>
      <w:szCs w:val="24"/>
    </w:rPr>
  </w:style>
  <w:style w:type="paragraph" w:customStyle="1" w:styleId="265">
    <w:name w:val="xl93"/>
    <w:basedOn w:val="1"/>
    <w:qFormat/>
    <w:uiPriority w:val="0"/>
    <w:pPr>
      <w:pBdr>
        <w:bottom w:val="single" w:color="auto" w:sz="4" w:space="0"/>
      </w:pBdr>
      <w:spacing w:before="100" w:beforeAutospacing="1" w:after="100" w:afterAutospacing="1"/>
      <w:jc w:val="center"/>
      <w:textAlignment w:val="center"/>
    </w:pPr>
    <w:rPr>
      <w:rFonts w:ascii="Arial" w:hAnsi="Arial" w:cs="Arial"/>
      <w:color w:val="000000"/>
    </w:rPr>
  </w:style>
  <w:style w:type="paragraph" w:customStyle="1" w:styleId="266">
    <w:name w:val="xl94"/>
    <w:basedOn w:val="1"/>
    <w:qFormat/>
    <w:uiPriority w:val="0"/>
    <w:pPr>
      <w:pBdr>
        <w:bottom w:val="single" w:color="auto" w:sz="4" w:space="0"/>
      </w:pBdr>
      <w:spacing w:before="100" w:beforeAutospacing="1" w:after="100" w:afterAutospacing="1"/>
      <w:jc w:val="center"/>
      <w:textAlignment w:val="center"/>
    </w:pPr>
    <w:rPr>
      <w:color w:val="000000"/>
      <w:sz w:val="24"/>
      <w:szCs w:val="24"/>
    </w:rPr>
  </w:style>
  <w:style w:type="paragraph" w:customStyle="1" w:styleId="267">
    <w:name w:val="xl95"/>
    <w:basedOn w:val="1"/>
    <w:qFormat/>
    <w:uiPriority w:val="0"/>
    <w:pPr>
      <w:pBdr>
        <w:bottom w:val="single" w:color="auto" w:sz="4" w:space="0"/>
      </w:pBdr>
      <w:spacing w:before="100" w:beforeAutospacing="1" w:after="100" w:afterAutospacing="1"/>
      <w:jc w:val="center"/>
      <w:textAlignment w:val="center"/>
    </w:pPr>
    <w:rPr>
      <w:color w:val="000000"/>
      <w:sz w:val="24"/>
      <w:szCs w:val="24"/>
    </w:rPr>
  </w:style>
  <w:style w:type="paragraph" w:customStyle="1" w:styleId="268">
    <w:name w:val="xl96"/>
    <w:basedOn w:val="1"/>
    <w:qFormat/>
    <w:uiPriority w:val="0"/>
    <w:pPr>
      <w:spacing w:before="100" w:beforeAutospacing="1" w:after="100" w:afterAutospacing="1"/>
      <w:jc w:val="center"/>
      <w:textAlignment w:val="center"/>
    </w:pPr>
    <w:rPr>
      <w:b/>
      <w:bCs/>
      <w:color w:val="000000"/>
      <w:sz w:val="24"/>
      <w:szCs w:val="24"/>
    </w:rPr>
  </w:style>
  <w:style w:type="paragraph" w:customStyle="1" w:styleId="269">
    <w:name w:val="xl97"/>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b/>
      <w:bCs/>
      <w:sz w:val="24"/>
      <w:szCs w:val="24"/>
    </w:rPr>
  </w:style>
  <w:style w:type="paragraph" w:customStyle="1" w:styleId="270">
    <w:name w:val="xl98"/>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b/>
      <w:bCs/>
      <w:sz w:val="24"/>
      <w:szCs w:val="24"/>
    </w:rPr>
  </w:style>
  <w:style w:type="paragraph" w:customStyle="1" w:styleId="271">
    <w:name w:val="Normal11"/>
    <w:qFormat/>
    <w:uiPriority w:val="0"/>
    <w:pPr>
      <w:widowControl w:val="0"/>
    </w:pPr>
    <w:rPr>
      <w:rFonts w:ascii="Calibri" w:hAnsi="Calibri" w:eastAsia="Calibri" w:cs="Calibri"/>
      <w:sz w:val="22"/>
      <w:szCs w:val="22"/>
      <w:lang w:val="pt-BR" w:eastAsia="pt-BR" w:bidi="ar-SA"/>
    </w:rPr>
  </w:style>
  <w:style w:type="paragraph" w:customStyle="1" w:styleId="272">
    <w:name w:val="Normal2"/>
    <w:qFormat/>
    <w:uiPriority w:val="0"/>
    <w:pPr>
      <w:widowControl w:val="0"/>
    </w:pPr>
    <w:rPr>
      <w:rFonts w:ascii="Calibri" w:hAnsi="Calibri" w:eastAsia="Calibri" w:cs="Calibri"/>
      <w:sz w:val="22"/>
      <w:szCs w:val="22"/>
      <w:lang w:val="pt-BR" w:eastAsia="pt-BR" w:bidi="ar-SA"/>
    </w:rPr>
  </w:style>
  <w:style w:type="table" w:customStyle="1" w:styleId="273">
    <w:name w:val="_Style 136"/>
    <w:basedOn w:val="60"/>
    <w:qFormat/>
    <w:uiPriority w:val="0"/>
    <w:rPr>
      <w:rFonts w:ascii="Aptos" w:hAnsi="Aptos" w:eastAsia="Aptos" w:cs="Aptos"/>
    </w:rPr>
    <w:tblPr>
      <w:tblCellMar>
        <w:left w:w="108" w:type="dxa"/>
        <w:right w:w="108" w:type="dxa"/>
      </w:tblCellMar>
    </w:tblPr>
  </w:style>
  <w:style w:type="paragraph" w:customStyle="1" w:styleId="274">
    <w:name w:val="Normal3"/>
    <w:qFormat/>
    <w:uiPriority w:val="0"/>
    <w:pPr>
      <w:widowControl w:val="0"/>
    </w:pPr>
    <w:rPr>
      <w:rFonts w:ascii="Calibri" w:hAnsi="Calibri" w:eastAsia="Calibri" w:cs="Calibri"/>
      <w:sz w:val="22"/>
      <w:szCs w:val="22"/>
      <w:lang w:val="pt-BR" w:eastAsia="pt-BR"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wdGJSLzgcsFhq5+ry/kjen7xknA==">CgMxLjA4AHIhMWlCTzhycGRGTHFYMmhZc3ZCelJyNVBUMkFoRU5vQ0xu</go:docsCustomData>
</go:gDocsCustomXmlDataStorage>
</file>

<file path=customXml/itemProps1.xml><?xml version="1.0" encoding="utf-8"?>
<ds:datastoreItem xmlns:ds="http://schemas.openxmlformats.org/officeDocument/2006/customXml" ds:itemID="{D1050EC4-D48D-4333-B8C6-550F6CAD7544}">
  <ds:schemaRefs/>
</ds:datastoreItem>
</file>

<file path=customXml/itemProps2.xml><?xml version="1.0" encoding="utf-8"?>
<ds:datastoreItem xmlns:ds="http://schemas.openxmlformats.org/officeDocument/2006/customXml" ds:itemID="{11111111-1234-1234-1234-123412341234}">
  <ds:schemaRefs/>
</ds:datastoreItem>
</file>

<file path=docProps/app.xml><?xml version="1.0" encoding="utf-8"?>
<Properties xmlns="http://schemas.openxmlformats.org/officeDocument/2006/extended-properties" xmlns:vt="http://schemas.openxmlformats.org/officeDocument/2006/docPropsVTypes">
  <Template>Normal.dotm</Template>
  <Pages>112</Pages>
  <Words>6253</Words>
  <Characters>34947</Characters>
  <Lines>1532</Lines>
  <Paragraphs>434</Paragraphs>
  <TotalTime>12</TotalTime>
  <ScaleCrop>false</ScaleCrop>
  <LinksUpToDate>false</LinksUpToDate>
  <CharactersWithSpaces>41065</CharactersWithSpaces>
  <Application>WPS Office_12.1.0.26372_F1E327BC-269C-435d-A152-05C5408002CA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2026-04-28T13:37:00Z</dcterms:created>
  <dc:creator>Sabrina Guimarães</dc:creator>
  <cp:lastModifiedBy>licitacao04</cp:lastModifiedBy>
  <cp:lastPrinted>2025-09-18T12:50:00Z</cp:lastPrinted>
  <dcterms:modified xsi:type="dcterms:W3CDTF">2026-05-18T15:59:21Z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1046-12.1.0.26372</vt:lpwstr>
  </property>
  <property fmtid="{D5CDD505-2E9C-101B-9397-08002B2CF9AE}" pid="3" name="ICV">
    <vt:lpwstr>15938B29029B4594B30BA26F98171119_13</vt:lpwstr>
  </property>
  <property fmtid="{D5CDD505-2E9C-101B-9397-08002B2CF9AE}" pid="4" name="KSOTemplateDocerSaveRecord">
    <vt:lpwstr>eyJoZGlkIjoiODk5ZDUzODY0MzRjZDU1MTZjNjdmZjFjZGJkZmQ3NTUifQ==</vt:lpwstr>
  </property>
</Properties>
</file>